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6F2D" w14:textId="72423A47" w:rsidR="009E077A" w:rsidRPr="009E077A" w:rsidRDefault="009E077A" w:rsidP="009628C0">
      <w:pPr>
        <w:spacing w:before="120" w:after="120" w:line="240" w:lineRule="auto"/>
        <w:rPr>
          <w:rFonts w:ascii="Aptos" w:hAnsi="Aptos" w:cs="Arial"/>
          <w:b/>
          <w:bCs/>
          <w:sz w:val="28"/>
          <w:szCs w:val="28"/>
        </w:rPr>
      </w:pPr>
      <w:bookmarkStart w:id="0" w:name="_Hlk123928084"/>
      <w:bookmarkEnd w:id="0"/>
      <w:r w:rsidRPr="009E077A">
        <w:rPr>
          <w:rFonts w:ascii="Aptos" w:hAnsi="Aptos" w:cs="Arial"/>
          <w:b/>
          <w:bCs/>
          <w:sz w:val="28"/>
          <w:szCs w:val="28"/>
        </w:rPr>
        <w:t xml:space="preserve">Summary of 2025 Aphid Control in OH </w:t>
      </w:r>
      <w:r w:rsidRPr="009628C0">
        <w:rPr>
          <w:rFonts w:ascii="Aptos" w:hAnsi="Aptos" w:cs="Arial"/>
          <w:b/>
          <w:bCs/>
          <w:sz w:val="28"/>
          <w:szCs w:val="28"/>
        </w:rPr>
        <w:t xml:space="preserve">Leafy Green </w:t>
      </w:r>
      <w:r w:rsidRPr="009E077A">
        <w:rPr>
          <w:rFonts w:ascii="Aptos" w:hAnsi="Aptos" w:cs="Arial"/>
          <w:b/>
          <w:bCs/>
          <w:sz w:val="28"/>
          <w:szCs w:val="28"/>
        </w:rPr>
        <w:t>and Cucurbit Production</w:t>
      </w:r>
    </w:p>
    <w:p w14:paraId="61C65954" w14:textId="6988E531" w:rsidR="009E077A" w:rsidRPr="009E077A" w:rsidRDefault="003965E3" w:rsidP="009628C0">
      <w:pPr>
        <w:spacing w:before="120" w:after="120" w:line="240" w:lineRule="auto"/>
        <w:rPr>
          <w:rFonts w:ascii="Aptos" w:hAnsi="Aptos"/>
        </w:rPr>
      </w:pPr>
      <w:r w:rsidRPr="009628C0">
        <w:rPr>
          <w:rFonts w:ascii="Aptos" w:hAnsi="Aptos"/>
        </w:rPr>
        <w:t>Ashley Leach</w:t>
      </w:r>
      <w:r w:rsidR="008C2A23" w:rsidRPr="009628C0">
        <w:rPr>
          <w:rFonts w:ascii="Aptos" w:hAnsi="Aptos"/>
        </w:rPr>
        <w:t xml:space="preserve"> and Arnol Gomez</w:t>
      </w:r>
      <w:r w:rsidRPr="009628C0">
        <w:rPr>
          <w:rFonts w:ascii="Aptos" w:hAnsi="Aptos"/>
        </w:rPr>
        <w:t>, OSU entomology (OARDC, Wooster, OH)</w:t>
      </w:r>
    </w:p>
    <w:p w14:paraId="115DC762" w14:textId="77777777" w:rsidR="009E077A" w:rsidRPr="009E077A" w:rsidRDefault="009E077A" w:rsidP="009628C0">
      <w:pPr>
        <w:spacing w:before="120" w:after="120" w:line="240" w:lineRule="auto"/>
        <w:rPr>
          <w:rFonts w:ascii="Aptos" w:hAnsi="Aptos" w:cs="Arial"/>
          <w:b/>
          <w:bCs/>
          <w:sz w:val="24"/>
          <w:szCs w:val="24"/>
        </w:rPr>
      </w:pPr>
      <w:r w:rsidRPr="009E077A">
        <w:rPr>
          <w:rFonts w:ascii="Aptos" w:hAnsi="Aptos" w:cs="Arial"/>
          <w:b/>
          <w:bCs/>
          <w:sz w:val="24"/>
          <w:szCs w:val="24"/>
        </w:rPr>
        <w:t>Objective</w:t>
      </w:r>
    </w:p>
    <w:p w14:paraId="55B6A23D" w14:textId="7FFB44A5" w:rsidR="009E077A" w:rsidRPr="009E077A" w:rsidRDefault="009E077A" w:rsidP="009628C0">
      <w:pPr>
        <w:spacing w:before="120" w:after="120" w:line="240" w:lineRule="auto"/>
        <w:rPr>
          <w:rFonts w:ascii="Aptos" w:hAnsi="Aptos" w:cs="Arial"/>
          <w:sz w:val="24"/>
          <w:szCs w:val="24"/>
        </w:rPr>
      </w:pPr>
      <w:r w:rsidRPr="009E077A">
        <w:rPr>
          <w:rFonts w:ascii="Aptos" w:hAnsi="Aptos" w:cs="Arial"/>
          <w:sz w:val="24"/>
          <w:szCs w:val="24"/>
        </w:rPr>
        <w:t xml:space="preserve">Evaluate the performance and timing of insecticides to control aphid populations in </w:t>
      </w:r>
      <w:r w:rsidR="00C31154" w:rsidRPr="00C31154">
        <w:rPr>
          <w:rFonts w:ascii="Aptos" w:hAnsi="Aptos" w:cs="Arial"/>
          <w:sz w:val="24"/>
          <w:szCs w:val="24"/>
        </w:rPr>
        <w:t>leafy greens and cucurbits</w:t>
      </w:r>
      <w:r w:rsidRPr="009E077A">
        <w:rPr>
          <w:rFonts w:ascii="Aptos" w:hAnsi="Aptos" w:cs="Arial"/>
          <w:sz w:val="24"/>
          <w:szCs w:val="24"/>
        </w:rPr>
        <w:t>. Specifically, this study aimed to:</w:t>
      </w:r>
    </w:p>
    <w:p w14:paraId="5A7ADB5F" w14:textId="77777777" w:rsidR="009E077A" w:rsidRPr="009E077A" w:rsidRDefault="009E077A" w:rsidP="009628C0">
      <w:pPr>
        <w:numPr>
          <w:ilvl w:val="0"/>
          <w:numId w:val="6"/>
        </w:numPr>
        <w:spacing w:before="120" w:after="120" w:line="240" w:lineRule="auto"/>
        <w:ind w:left="0"/>
        <w:rPr>
          <w:rFonts w:ascii="Aptos" w:hAnsi="Aptos" w:cs="Arial"/>
          <w:sz w:val="24"/>
          <w:szCs w:val="24"/>
        </w:rPr>
      </w:pPr>
      <w:r w:rsidRPr="009E077A">
        <w:rPr>
          <w:rFonts w:ascii="Aptos" w:hAnsi="Aptos" w:cs="Arial"/>
          <w:sz w:val="24"/>
          <w:szCs w:val="24"/>
        </w:rPr>
        <w:t>Quantify aphid densities and associated natural enemies across insecticide treatments.</w:t>
      </w:r>
    </w:p>
    <w:p w14:paraId="1C20C1F5" w14:textId="2BBB276A" w:rsidR="009E077A" w:rsidRPr="009E077A" w:rsidRDefault="009E077A" w:rsidP="009628C0">
      <w:pPr>
        <w:numPr>
          <w:ilvl w:val="0"/>
          <w:numId w:val="6"/>
        </w:numPr>
        <w:spacing w:before="120" w:after="120" w:line="240" w:lineRule="auto"/>
        <w:ind w:left="0"/>
        <w:rPr>
          <w:rFonts w:ascii="Aptos" w:hAnsi="Aptos" w:cs="Arial"/>
          <w:sz w:val="24"/>
          <w:szCs w:val="24"/>
        </w:rPr>
      </w:pPr>
      <w:r w:rsidRPr="009E077A">
        <w:rPr>
          <w:rFonts w:ascii="Aptos" w:hAnsi="Aptos" w:cs="Arial"/>
          <w:sz w:val="24"/>
          <w:szCs w:val="24"/>
        </w:rPr>
        <w:t>Compare the performance of selective and broad-spectrum insecticides when applied early versus late in the season.</w:t>
      </w:r>
    </w:p>
    <w:p w14:paraId="2FBD8CBA" w14:textId="4C6717ED" w:rsidR="009E077A" w:rsidRPr="009E077A" w:rsidRDefault="009628C0" w:rsidP="009628C0">
      <w:pPr>
        <w:pBdr>
          <w:bottom w:val="single" w:sz="4" w:space="1" w:color="auto"/>
        </w:pBdr>
        <w:spacing w:before="120" w:after="120" w:line="240" w:lineRule="auto"/>
        <w:rPr>
          <w:rFonts w:ascii="Aptos" w:hAnsi="Aptos" w:cs="Arial"/>
          <w:b/>
          <w:bCs/>
          <w:sz w:val="24"/>
          <w:szCs w:val="24"/>
        </w:rPr>
      </w:pPr>
      <w:r>
        <w:rPr>
          <w:rFonts w:ascii="Aptos" w:hAnsi="Aptos" w:cs="Arial"/>
          <w:b/>
          <w:bCs/>
          <w:sz w:val="24"/>
          <w:szCs w:val="24"/>
        </w:rPr>
        <w:t>OVERVIEW</w:t>
      </w:r>
    </w:p>
    <w:p w14:paraId="606D4AF2" w14:textId="2DD4056D" w:rsidR="009E077A" w:rsidRPr="009E077A" w:rsidRDefault="009E077A" w:rsidP="009628C0">
      <w:pPr>
        <w:spacing w:before="120" w:after="120" w:line="240" w:lineRule="auto"/>
        <w:rPr>
          <w:rFonts w:ascii="Aptos" w:hAnsi="Aptos" w:cs="Arial"/>
          <w:sz w:val="24"/>
          <w:szCs w:val="24"/>
        </w:rPr>
      </w:pPr>
      <w:r w:rsidRPr="009E077A">
        <w:rPr>
          <w:rFonts w:ascii="Aptos" w:hAnsi="Aptos" w:cs="Arial"/>
          <w:sz w:val="24"/>
          <w:szCs w:val="24"/>
        </w:rPr>
        <w:t>Aphids emerged as a significant pest problem for Ohio vegetable growers in 2024. Outbreaks were most severe in August and September, when drought and heat stress favored aphid reproduction. High populations led to honeydew deposition, sooty mold development, and secondary fruit rot in several production fields.</w:t>
      </w:r>
      <w:r w:rsidRPr="009628C0">
        <w:rPr>
          <w:rFonts w:ascii="Aptos" w:hAnsi="Aptos" w:cs="Arial"/>
          <w:sz w:val="24"/>
          <w:szCs w:val="24"/>
        </w:rPr>
        <w:t xml:space="preserve"> </w:t>
      </w:r>
      <w:r w:rsidRPr="009E077A">
        <w:rPr>
          <w:rFonts w:ascii="Aptos" w:hAnsi="Aptos" w:cs="Arial"/>
          <w:sz w:val="24"/>
          <w:szCs w:val="24"/>
        </w:rPr>
        <w:t>Preliminary observations indicated that use of broad-spectrum insecticides, such as Warrior II (λ-cyhalothrin), exacerbated aphid outbreaks</w:t>
      </w:r>
      <w:r w:rsidR="00C31154">
        <w:rPr>
          <w:rFonts w:ascii="Aptos" w:hAnsi="Aptos" w:cs="Arial"/>
          <w:sz w:val="24"/>
          <w:szCs w:val="24"/>
        </w:rPr>
        <w:t xml:space="preserve">, </w:t>
      </w:r>
      <w:r w:rsidRPr="009E077A">
        <w:rPr>
          <w:rFonts w:ascii="Aptos" w:hAnsi="Aptos" w:cs="Arial"/>
          <w:sz w:val="24"/>
          <w:szCs w:val="24"/>
        </w:rPr>
        <w:t>likely due to suppression of key natural enemies such as minute pirate bugs (</w:t>
      </w:r>
      <w:r w:rsidRPr="009E077A">
        <w:rPr>
          <w:rFonts w:ascii="Aptos" w:hAnsi="Aptos" w:cs="Arial"/>
          <w:i/>
          <w:iCs/>
          <w:sz w:val="24"/>
          <w:szCs w:val="24"/>
        </w:rPr>
        <w:t>Orius spp.</w:t>
      </w:r>
      <w:r w:rsidRPr="009E077A">
        <w:rPr>
          <w:rFonts w:ascii="Aptos" w:hAnsi="Aptos" w:cs="Arial"/>
          <w:sz w:val="24"/>
          <w:szCs w:val="24"/>
        </w:rPr>
        <w:t xml:space="preserve">), lady beetles, and </w:t>
      </w:r>
      <w:r w:rsidR="00C31154">
        <w:rPr>
          <w:rFonts w:ascii="Aptos" w:hAnsi="Aptos" w:cs="Arial"/>
          <w:sz w:val="24"/>
          <w:szCs w:val="24"/>
        </w:rPr>
        <w:t>parasitoid wasps</w:t>
      </w:r>
      <w:r w:rsidRPr="009E077A">
        <w:rPr>
          <w:rFonts w:ascii="Aptos" w:hAnsi="Aptos" w:cs="Arial"/>
          <w:sz w:val="24"/>
          <w:szCs w:val="24"/>
        </w:rPr>
        <w:t>. These findings highlighted a key management challenge: while pyrethroids remain affordable and effective against caterpillars and beetles, their use can unintentionally drive aphid resurgence.</w:t>
      </w:r>
      <w:r w:rsidRPr="009628C0">
        <w:rPr>
          <w:rFonts w:ascii="Aptos" w:hAnsi="Aptos" w:cs="Arial"/>
          <w:sz w:val="24"/>
          <w:szCs w:val="24"/>
        </w:rPr>
        <w:t xml:space="preserve"> </w:t>
      </w:r>
      <w:r w:rsidR="00C31154" w:rsidRPr="00C31154">
        <w:rPr>
          <w:rFonts w:ascii="Aptos" w:hAnsi="Aptos" w:cs="Arial"/>
          <w:sz w:val="24"/>
          <w:szCs w:val="24"/>
        </w:rPr>
        <w:t xml:space="preserve">The trial was designed to evaluate both selective and broad-spectrum chemistries, and to develop practical programming recommendations for aphid management in Ohio vegetable </w:t>
      </w:r>
      <w:r w:rsidR="00C31154">
        <w:rPr>
          <w:rFonts w:ascii="Aptos" w:hAnsi="Aptos" w:cs="Arial"/>
          <w:sz w:val="24"/>
          <w:szCs w:val="24"/>
        </w:rPr>
        <w:t>production</w:t>
      </w:r>
      <w:r w:rsidR="00C31154" w:rsidRPr="00C31154">
        <w:rPr>
          <w:rFonts w:ascii="Aptos" w:hAnsi="Aptos" w:cs="Arial"/>
          <w:sz w:val="24"/>
          <w:szCs w:val="24"/>
        </w:rPr>
        <w:t>.</w:t>
      </w:r>
    </w:p>
    <w:p w14:paraId="5BE10153" w14:textId="10B90946" w:rsidR="009E077A" w:rsidRPr="009E077A" w:rsidRDefault="009E077A" w:rsidP="009628C0">
      <w:pPr>
        <w:spacing w:before="120" w:after="120" w:line="240" w:lineRule="auto"/>
        <w:rPr>
          <w:rFonts w:ascii="Aptos" w:hAnsi="Aptos" w:cs="Arial"/>
          <w:b/>
          <w:bCs/>
          <w:sz w:val="24"/>
          <w:szCs w:val="24"/>
        </w:rPr>
      </w:pPr>
      <w:r w:rsidRPr="009E077A">
        <w:rPr>
          <w:rFonts w:ascii="Aptos" w:hAnsi="Aptos" w:cs="Arial"/>
          <w:b/>
          <w:bCs/>
          <w:sz w:val="24"/>
          <w:szCs w:val="24"/>
        </w:rPr>
        <w:t>Location</w:t>
      </w:r>
      <w:r w:rsidRPr="009628C0">
        <w:rPr>
          <w:rFonts w:ascii="Aptos" w:hAnsi="Aptos" w:cs="Arial"/>
          <w:b/>
          <w:bCs/>
          <w:sz w:val="24"/>
          <w:szCs w:val="24"/>
        </w:rPr>
        <w:t xml:space="preserve"> and Set-up</w:t>
      </w:r>
    </w:p>
    <w:p w14:paraId="3814881D" w14:textId="39E0F02E" w:rsidR="009E077A" w:rsidRPr="009E077A" w:rsidRDefault="009E077A" w:rsidP="009628C0">
      <w:pPr>
        <w:spacing w:before="120" w:after="120" w:line="240" w:lineRule="auto"/>
        <w:rPr>
          <w:rFonts w:ascii="Aptos" w:hAnsi="Aptos" w:cs="Arial"/>
          <w:sz w:val="24"/>
          <w:szCs w:val="24"/>
        </w:rPr>
      </w:pPr>
      <w:r w:rsidRPr="009E077A">
        <w:rPr>
          <w:rFonts w:ascii="Aptos" w:hAnsi="Aptos" w:cs="Arial"/>
          <w:sz w:val="24"/>
          <w:szCs w:val="24"/>
        </w:rPr>
        <w:t xml:space="preserve">Field trials were conducted at the OSU </w:t>
      </w:r>
      <w:r w:rsidRPr="009628C0">
        <w:rPr>
          <w:rFonts w:ascii="Aptos" w:hAnsi="Aptos" w:cs="Arial"/>
          <w:sz w:val="24"/>
          <w:szCs w:val="24"/>
        </w:rPr>
        <w:t>Willard Muck</w:t>
      </w:r>
      <w:r w:rsidRPr="009E077A">
        <w:rPr>
          <w:rFonts w:ascii="Aptos" w:hAnsi="Aptos" w:cs="Arial"/>
          <w:sz w:val="24"/>
          <w:szCs w:val="24"/>
        </w:rPr>
        <w:t xml:space="preserve"> Research Station in </w:t>
      </w:r>
      <w:r w:rsidRPr="009628C0">
        <w:rPr>
          <w:rFonts w:ascii="Aptos" w:hAnsi="Aptos" w:cs="Arial"/>
          <w:sz w:val="24"/>
          <w:szCs w:val="24"/>
        </w:rPr>
        <w:t>Willard</w:t>
      </w:r>
      <w:r w:rsidRPr="009E077A">
        <w:rPr>
          <w:rFonts w:ascii="Aptos" w:hAnsi="Aptos" w:cs="Arial"/>
          <w:sz w:val="24"/>
          <w:szCs w:val="24"/>
        </w:rPr>
        <w:t>, OH. The same design and plot layout used in previous insecticide efficacy work were implemented.</w:t>
      </w:r>
      <w:r w:rsidRPr="009628C0">
        <w:rPr>
          <w:rFonts w:ascii="Aptos" w:hAnsi="Aptos" w:cs="Arial"/>
          <w:sz w:val="24"/>
          <w:szCs w:val="24"/>
        </w:rPr>
        <w:t xml:space="preserve"> Prior to the trial initiation, we consulted informally with Ohio vegetable growers and made some slight changes to our protocol to better reflect challenges with aphids in Ohio vegetable. First, instead of focusing on pepper, we switched to collard greens as many growers struggled with aphid outbreaks in leafy greens in 2024. Further, instead of using Harvanta (AI: cyclaniprole), we decided to substitute Exirel (AI: </w:t>
      </w:r>
      <w:r w:rsidR="00C31154" w:rsidRPr="00C31154">
        <w:rPr>
          <w:rFonts w:ascii="Aptos" w:hAnsi="Aptos" w:cs="Arial"/>
          <w:sz w:val="24"/>
          <w:szCs w:val="24"/>
        </w:rPr>
        <w:t>cyantraniliprole</w:t>
      </w:r>
      <w:r w:rsidRPr="009628C0">
        <w:rPr>
          <w:rFonts w:ascii="Aptos" w:hAnsi="Aptos" w:cs="Arial"/>
          <w:sz w:val="24"/>
          <w:szCs w:val="24"/>
        </w:rPr>
        <w:t xml:space="preserve">) as it is a more commonly used </w:t>
      </w:r>
      <w:r w:rsidR="00C31154" w:rsidRPr="00C31154">
        <w:rPr>
          <w:rFonts w:ascii="Aptos" w:hAnsi="Aptos" w:cs="Arial"/>
          <w:sz w:val="24"/>
          <w:szCs w:val="24"/>
        </w:rPr>
        <w:t>anthranilic diamide commonly used by Ohio growers, providing a more relevant comparison.</w:t>
      </w:r>
      <w:r w:rsidRPr="009628C0">
        <w:rPr>
          <w:rFonts w:ascii="Aptos" w:hAnsi="Aptos" w:cs="Arial"/>
          <w:sz w:val="24"/>
          <w:szCs w:val="24"/>
        </w:rPr>
        <w:t xml:space="preserve"> </w:t>
      </w:r>
    </w:p>
    <w:p w14:paraId="06B696A2" w14:textId="77777777" w:rsidR="009E077A" w:rsidRPr="009E077A" w:rsidRDefault="009E077A" w:rsidP="009628C0">
      <w:pPr>
        <w:pBdr>
          <w:bottom w:val="single" w:sz="4" w:space="1" w:color="auto"/>
        </w:pBdr>
        <w:spacing w:before="120" w:after="120" w:line="240" w:lineRule="auto"/>
        <w:rPr>
          <w:rFonts w:ascii="Aptos" w:hAnsi="Aptos" w:cs="Arial"/>
          <w:b/>
          <w:bCs/>
          <w:sz w:val="24"/>
          <w:szCs w:val="24"/>
        </w:rPr>
      </w:pPr>
      <w:r w:rsidRPr="009E077A">
        <w:rPr>
          <w:rFonts w:ascii="Aptos" w:hAnsi="Aptos" w:cs="Arial"/>
          <w:b/>
          <w:bCs/>
          <w:sz w:val="24"/>
          <w:szCs w:val="24"/>
        </w:rPr>
        <w:t>APHID INSECTICIDE TREATMENTS</w:t>
      </w:r>
    </w:p>
    <w:p w14:paraId="451B7CD2" w14:textId="1163B9D2" w:rsidR="009E077A" w:rsidRPr="009E077A" w:rsidRDefault="009E077A" w:rsidP="009628C0">
      <w:pPr>
        <w:spacing w:before="120" w:after="120" w:line="240" w:lineRule="auto"/>
        <w:rPr>
          <w:rFonts w:ascii="Aptos" w:hAnsi="Aptos" w:cs="Arial"/>
          <w:sz w:val="24"/>
          <w:szCs w:val="24"/>
        </w:rPr>
      </w:pPr>
      <w:r w:rsidRPr="009E077A">
        <w:rPr>
          <w:rFonts w:ascii="Aptos" w:hAnsi="Aptos" w:cs="Arial"/>
          <w:sz w:val="24"/>
          <w:szCs w:val="24"/>
        </w:rPr>
        <w:t>A total of five insecticide products and an untreated control were evaluated for aphid management in two crops</w:t>
      </w:r>
      <w:r w:rsidRPr="009628C0">
        <w:rPr>
          <w:rFonts w:ascii="Aptos" w:hAnsi="Aptos" w:cs="Arial"/>
          <w:sz w:val="24"/>
          <w:szCs w:val="24"/>
        </w:rPr>
        <w:t>; Collard greens</w:t>
      </w:r>
      <w:r w:rsidRPr="009E077A">
        <w:rPr>
          <w:rFonts w:ascii="Aptos" w:hAnsi="Aptos" w:cs="Arial"/>
          <w:sz w:val="24"/>
          <w:szCs w:val="24"/>
        </w:rPr>
        <w:t xml:space="preserve"> (‘</w:t>
      </w:r>
      <w:r w:rsidR="00201CF3" w:rsidRPr="009628C0">
        <w:rPr>
          <w:rFonts w:ascii="Aptos" w:hAnsi="Aptos" w:cs="Arial"/>
          <w:sz w:val="24"/>
          <w:szCs w:val="24"/>
        </w:rPr>
        <w:t>Top Bunch</w:t>
      </w:r>
      <w:r w:rsidRPr="009E077A">
        <w:rPr>
          <w:rFonts w:ascii="Aptos" w:hAnsi="Aptos" w:cs="Arial"/>
          <w:sz w:val="24"/>
          <w:szCs w:val="24"/>
        </w:rPr>
        <w:t>’</w:t>
      </w:r>
      <w:r w:rsidR="00201CF3" w:rsidRPr="009628C0">
        <w:rPr>
          <w:rFonts w:ascii="Aptos" w:hAnsi="Aptos" w:cs="Arial"/>
          <w:sz w:val="24"/>
          <w:szCs w:val="24"/>
        </w:rPr>
        <w:t>, Rupp Seeds</w:t>
      </w:r>
      <w:r w:rsidRPr="009E077A">
        <w:rPr>
          <w:rFonts w:ascii="Aptos" w:hAnsi="Aptos" w:cs="Arial"/>
          <w:sz w:val="24"/>
          <w:szCs w:val="24"/>
        </w:rPr>
        <w:t>) and summer squash (‘</w:t>
      </w:r>
      <w:r w:rsidR="00201CF3" w:rsidRPr="009628C0">
        <w:rPr>
          <w:rFonts w:ascii="Aptos" w:hAnsi="Aptos" w:cs="Arial"/>
          <w:sz w:val="24"/>
          <w:szCs w:val="24"/>
        </w:rPr>
        <w:t>Reward’, Harris Moran Seeds</w:t>
      </w:r>
      <w:r w:rsidRPr="009E077A">
        <w:rPr>
          <w:rFonts w:ascii="Aptos" w:hAnsi="Aptos" w:cs="Arial"/>
          <w:sz w:val="24"/>
          <w:szCs w:val="24"/>
        </w:rPr>
        <w:t xml:space="preserve">). </w:t>
      </w:r>
      <w:r w:rsidR="00201CF3" w:rsidRPr="009628C0">
        <w:rPr>
          <w:rFonts w:ascii="Aptos" w:hAnsi="Aptos" w:cs="Arial"/>
          <w:sz w:val="24"/>
          <w:szCs w:val="24"/>
        </w:rPr>
        <w:t xml:space="preserve">Trials were designed to implement treatments over </w:t>
      </w:r>
      <w:r w:rsidRPr="009E077A">
        <w:rPr>
          <w:rFonts w:ascii="Aptos" w:hAnsi="Aptos" w:cs="Arial"/>
          <w:sz w:val="24"/>
          <w:szCs w:val="24"/>
        </w:rPr>
        <w:t>two consecutive time periods (early and late season), allowing for comparison of product timing on aphid suppression.</w:t>
      </w:r>
      <w:r w:rsidR="00201CF3" w:rsidRPr="009628C0">
        <w:rPr>
          <w:rFonts w:ascii="Aptos" w:hAnsi="Aptos" w:cs="Arial"/>
          <w:sz w:val="24"/>
          <w:szCs w:val="24"/>
        </w:rPr>
        <w:t xml:space="preserve"> </w:t>
      </w:r>
      <w:r w:rsidRPr="009E077A">
        <w:rPr>
          <w:rFonts w:ascii="Aptos" w:hAnsi="Aptos" w:cs="Arial"/>
          <w:sz w:val="24"/>
          <w:szCs w:val="24"/>
        </w:rPr>
        <w:t>All treatments were applied weekly using a CO</w:t>
      </w:r>
      <w:r w:rsidRPr="009E077A">
        <w:rPr>
          <w:rFonts w:ascii="Aptos" w:hAnsi="Aptos" w:cs="Cambria Math"/>
          <w:sz w:val="24"/>
          <w:szCs w:val="24"/>
        </w:rPr>
        <w:t>₂</w:t>
      </w:r>
      <w:r w:rsidRPr="009E077A">
        <w:rPr>
          <w:rFonts w:ascii="Aptos" w:hAnsi="Aptos" w:cs="Arial"/>
          <w:sz w:val="24"/>
          <w:szCs w:val="24"/>
        </w:rPr>
        <w:t xml:space="preserve">-pressurized </w:t>
      </w:r>
      <w:r w:rsidRPr="009E077A">
        <w:rPr>
          <w:rFonts w:ascii="Aptos" w:hAnsi="Aptos" w:cs="Arial"/>
          <w:sz w:val="24"/>
          <w:szCs w:val="24"/>
        </w:rPr>
        <w:lastRenderedPageBreak/>
        <w:t xml:space="preserve">R&amp;D sprayer (four twin flat-fan nozzles, TJ-60 11003VS; TeeJet Technologies, Harrisburg, PA). Applications were made for </w:t>
      </w:r>
      <w:r w:rsidRPr="009628C0">
        <w:rPr>
          <w:rFonts w:ascii="Aptos" w:hAnsi="Aptos" w:cs="Arial"/>
          <w:sz w:val="24"/>
          <w:szCs w:val="24"/>
        </w:rPr>
        <w:t>5</w:t>
      </w:r>
      <w:r w:rsidRPr="009E077A">
        <w:rPr>
          <w:rFonts w:ascii="Aptos" w:hAnsi="Aptos" w:cs="Arial"/>
          <w:sz w:val="24"/>
          <w:szCs w:val="24"/>
        </w:rPr>
        <w:t xml:space="preserve"> weeks per </w:t>
      </w:r>
      <w:r w:rsidRPr="009628C0">
        <w:rPr>
          <w:rFonts w:ascii="Aptos" w:hAnsi="Aptos" w:cs="Arial"/>
          <w:sz w:val="24"/>
          <w:szCs w:val="24"/>
        </w:rPr>
        <w:t>crop</w:t>
      </w:r>
      <w:r w:rsidRPr="009E077A">
        <w:rPr>
          <w:rFonts w:ascii="Aptos" w:hAnsi="Aptos" w:cs="Arial"/>
          <w:sz w:val="24"/>
          <w:szCs w:val="24"/>
        </w:rPr>
        <w:t>, corresponding to active aphid pressure.</w:t>
      </w:r>
    </w:p>
    <w:p w14:paraId="4A906F70" w14:textId="6DA17130" w:rsidR="009E077A" w:rsidRPr="009E077A" w:rsidRDefault="009E077A" w:rsidP="009628C0">
      <w:pPr>
        <w:spacing w:before="120" w:after="120" w:line="240" w:lineRule="auto"/>
        <w:rPr>
          <w:rFonts w:ascii="Aptos" w:hAnsi="Aptos" w:cs="Arial"/>
          <w:b/>
          <w:bCs/>
          <w:sz w:val="24"/>
          <w:szCs w:val="24"/>
        </w:rPr>
      </w:pPr>
      <w:r w:rsidRPr="009E077A">
        <w:rPr>
          <w:rFonts w:ascii="Aptos" w:hAnsi="Aptos" w:cs="Arial"/>
          <w:b/>
          <w:bCs/>
          <w:sz w:val="24"/>
          <w:szCs w:val="24"/>
        </w:rPr>
        <w:t xml:space="preserve">Experimental </w:t>
      </w:r>
      <w:r w:rsidRPr="009628C0">
        <w:rPr>
          <w:rFonts w:ascii="Aptos" w:hAnsi="Aptos" w:cs="Arial"/>
          <w:b/>
          <w:bCs/>
          <w:sz w:val="24"/>
          <w:szCs w:val="24"/>
        </w:rPr>
        <w:t>Design</w:t>
      </w:r>
    </w:p>
    <w:p w14:paraId="220FEBCA" w14:textId="4A265E08" w:rsidR="009E077A" w:rsidRDefault="009E077A" w:rsidP="009628C0">
      <w:pPr>
        <w:spacing w:before="120" w:after="120" w:line="240" w:lineRule="auto"/>
        <w:rPr>
          <w:rFonts w:ascii="Aptos" w:hAnsi="Aptos" w:cs="Arial"/>
          <w:sz w:val="24"/>
          <w:szCs w:val="24"/>
        </w:rPr>
      </w:pPr>
      <w:r w:rsidRPr="009E077A">
        <w:rPr>
          <w:rFonts w:ascii="Aptos" w:hAnsi="Aptos" w:cs="Arial"/>
          <w:sz w:val="24"/>
          <w:szCs w:val="24"/>
        </w:rPr>
        <w:t>The experiment was arranged in a randomized complete block design (RCBD) with four replications per treatment (48 plots total</w:t>
      </w:r>
      <w:r w:rsidR="00786D29">
        <w:rPr>
          <w:rFonts w:ascii="Aptos" w:hAnsi="Aptos" w:cs="Arial"/>
          <w:sz w:val="24"/>
          <w:szCs w:val="24"/>
        </w:rPr>
        <w:t xml:space="preserve"> across both crops</w:t>
      </w:r>
      <w:r w:rsidRPr="009E077A">
        <w:rPr>
          <w:rFonts w:ascii="Aptos" w:hAnsi="Aptos" w:cs="Arial"/>
          <w:sz w:val="24"/>
          <w:szCs w:val="24"/>
        </w:rPr>
        <w:t>). Early-season applications were conducted in May–June, and late-season applications in August–September.</w:t>
      </w:r>
      <w:r w:rsidR="00201CF3" w:rsidRPr="009628C0">
        <w:rPr>
          <w:rFonts w:ascii="Aptos" w:hAnsi="Aptos" w:cs="Arial"/>
          <w:sz w:val="24"/>
          <w:szCs w:val="24"/>
        </w:rPr>
        <w:t xml:space="preserve"> Insecticide treatments and rates are shown in the table below. </w:t>
      </w:r>
    </w:p>
    <w:tbl>
      <w:tblPr>
        <w:tblpPr w:leftFromText="180" w:rightFromText="180" w:vertAnchor="text" w:horzAnchor="margin" w:tblpY="126"/>
        <w:tblW w:w="9624" w:type="dxa"/>
        <w:tblBorders>
          <w:top w:val="single" w:sz="4" w:space="0" w:color="auto"/>
          <w:left w:val="single" w:sz="4" w:space="0" w:color="auto"/>
          <w:bottom w:val="single" w:sz="4" w:space="0" w:color="auto"/>
          <w:right w:val="single" w:sz="4" w:space="0" w:color="auto"/>
          <w:insideH w:val="single" w:sz="4" w:space="0" w:color="000000"/>
        </w:tblBorders>
        <w:tblCellMar>
          <w:left w:w="0" w:type="dxa"/>
          <w:right w:w="0" w:type="dxa"/>
        </w:tblCellMar>
        <w:tblLook w:val="0420" w:firstRow="1" w:lastRow="0" w:firstColumn="0" w:lastColumn="0" w:noHBand="0" w:noVBand="1"/>
      </w:tblPr>
      <w:tblGrid>
        <w:gridCol w:w="2966"/>
        <w:gridCol w:w="2962"/>
        <w:gridCol w:w="2090"/>
        <w:gridCol w:w="1606"/>
      </w:tblGrid>
      <w:tr w:rsidR="00786D29" w:rsidRPr="00786D29" w14:paraId="59F2D02D" w14:textId="77777777" w:rsidTr="00786D29">
        <w:trPr>
          <w:trHeight w:val="65"/>
        </w:trPr>
        <w:tc>
          <w:tcPr>
            <w:tcW w:w="9624" w:type="dxa"/>
            <w:gridSpan w:val="4"/>
            <w:tcMar>
              <w:top w:w="72" w:type="dxa"/>
              <w:left w:w="72" w:type="dxa"/>
              <w:bottom w:w="72" w:type="dxa"/>
              <w:right w:w="72" w:type="dxa"/>
            </w:tcMar>
            <w:vAlign w:val="center"/>
          </w:tcPr>
          <w:p w14:paraId="35FD8562" w14:textId="56B4E69C" w:rsidR="00786D29" w:rsidRPr="00786D29" w:rsidRDefault="00786D29" w:rsidP="00786D29">
            <w:pPr>
              <w:spacing w:after="0" w:line="240" w:lineRule="auto"/>
              <w:rPr>
                <w:rFonts w:ascii="Aptos" w:eastAsia="Arial" w:hAnsi="Aptos" w:cs="Arial"/>
                <w:b/>
                <w:bCs/>
                <w:sz w:val="24"/>
                <w:szCs w:val="24"/>
              </w:rPr>
            </w:pPr>
            <w:r w:rsidRPr="00786D29">
              <w:rPr>
                <w:rFonts w:ascii="Aptos" w:eastAsia="Arial" w:hAnsi="Aptos" w:cs="Arial"/>
                <w:b/>
                <w:bCs/>
                <w:sz w:val="24"/>
                <w:szCs w:val="24"/>
              </w:rPr>
              <w:t xml:space="preserve">Table 1: </w:t>
            </w:r>
            <w:r w:rsidRPr="00786D29">
              <w:rPr>
                <w:rFonts w:ascii="Aptos" w:eastAsia="Arial" w:hAnsi="Aptos" w:cs="Arial"/>
                <w:sz w:val="24"/>
                <w:szCs w:val="24"/>
              </w:rPr>
              <w:t>Insecticide treatments to control aphids in collard greens and summer squash.</w:t>
            </w:r>
            <w:r w:rsidRPr="00786D29">
              <w:rPr>
                <w:rFonts w:ascii="Aptos" w:eastAsia="Arial" w:hAnsi="Aptos" w:cs="Arial"/>
                <w:b/>
                <w:bCs/>
                <w:sz w:val="24"/>
                <w:szCs w:val="24"/>
              </w:rPr>
              <w:t xml:space="preserve"> </w:t>
            </w:r>
          </w:p>
        </w:tc>
      </w:tr>
      <w:tr w:rsidR="00786D29" w:rsidRPr="00786D29" w14:paraId="66B23D4E" w14:textId="77777777" w:rsidTr="00C31154">
        <w:trPr>
          <w:trHeight w:val="65"/>
        </w:trPr>
        <w:tc>
          <w:tcPr>
            <w:tcW w:w="2966" w:type="dxa"/>
            <w:shd w:val="clear" w:color="auto" w:fill="000000"/>
            <w:tcMar>
              <w:top w:w="72" w:type="dxa"/>
              <w:left w:w="72" w:type="dxa"/>
              <w:bottom w:w="72" w:type="dxa"/>
              <w:right w:w="72" w:type="dxa"/>
            </w:tcMar>
            <w:vAlign w:val="center"/>
            <w:hideMark/>
          </w:tcPr>
          <w:p w14:paraId="53292470" w14:textId="77777777" w:rsidR="00786D29" w:rsidRPr="00786D29" w:rsidRDefault="00786D29" w:rsidP="00786D29">
            <w:pPr>
              <w:spacing w:after="0" w:line="240" w:lineRule="auto"/>
              <w:jc w:val="center"/>
              <w:rPr>
                <w:rFonts w:ascii="Aptos" w:eastAsia="Arial" w:hAnsi="Aptos" w:cs="Arial"/>
                <w:sz w:val="24"/>
                <w:szCs w:val="24"/>
              </w:rPr>
            </w:pPr>
            <w:r w:rsidRPr="00786D29">
              <w:rPr>
                <w:rFonts w:ascii="Aptos" w:eastAsia="Arial" w:hAnsi="Aptos" w:cs="Arial"/>
                <w:b/>
                <w:bCs/>
                <w:sz w:val="24"/>
                <w:szCs w:val="24"/>
              </w:rPr>
              <w:t>Product</w:t>
            </w:r>
          </w:p>
        </w:tc>
        <w:tc>
          <w:tcPr>
            <w:tcW w:w="2962" w:type="dxa"/>
            <w:shd w:val="clear" w:color="auto" w:fill="000000"/>
            <w:vAlign w:val="center"/>
          </w:tcPr>
          <w:p w14:paraId="6C67D193" w14:textId="77777777" w:rsidR="00786D29" w:rsidRPr="00786D29" w:rsidRDefault="00786D29" w:rsidP="00786D29">
            <w:pPr>
              <w:spacing w:after="0" w:line="240" w:lineRule="auto"/>
              <w:jc w:val="center"/>
              <w:rPr>
                <w:rFonts w:ascii="Aptos" w:eastAsia="Arial" w:hAnsi="Aptos" w:cs="Arial"/>
                <w:b/>
                <w:bCs/>
                <w:sz w:val="24"/>
                <w:szCs w:val="24"/>
              </w:rPr>
            </w:pPr>
            <w:r w:rsidRPr="00786D29">
              <w:rPr>
                <w:rFonts w:ascii="Aptos" w:eastAsia="Arial" w:hAnsi="Aptos" w:cs="Arial"/>
                <w:b/>
                <w:bCs/>
                <w:sz w:val="24"/>
                <w:szCs w:val="24"/>
              </w:rPr>
              <w:t>Active Ingredient</w:t>
            </w:r>
          </w:p>
        </w:tc>
        <w:tc>
          <w:tcPr>
            <w:tcW w:w="2090" w:type="dxa"/>
            <w:shd w:val="clear" w:color="auto" w:fill="000000"/>
            <w:tcMar>
              <w:top w:w="72" w:type="dxa"/>
              <w:left w:w="72" w:type="dxa"/>
              <w:bottom w:w="72" w:type="dxa"/>
              <w:right w:w="72" w:type="dxa"/>
            </w:tcMar>
            <w:hideMark/>
          </w:tcPr>
          <w:p w14:paraId="65DFDC07" w14:textId="77777777" w:rsidR="00786D29" w:rsidRPr="00786D29" w:rsidRDefault="00786D29" w:rsidP="00786D29">
            <w:pPr>
              <w:spacing w:after="0" w:line="240" w:lineRule="auto"/>
              <w:jc w:val="center"/>
              <w:rPr>
                <w:rFonts w:ascii="Aptos" w:eastAsia="Arial" w:hAnsi="Aptos" w:cs="Arial"/>
                <w:sz w:val="24"/>
                <w:szCs w:val="24"/>
              </w:rPr>
            </w:pPr>
            <w:r w:rsidRPr="00786D29">
              <w:rPr>
                <w:rFonts w:ascii="Aptos" w:eastAsia="Arial" w:hAnsi="Aptos" w:cs="Arial"/>
                <w:b/>
                <w:bCs/>
                <w:sz w:val="24"/>
                <w:szCs w:val="24"/>
              </w:rPr>
              <w:t>Rate (oz/ac)</w:t>
            </w:r>
          </w:p>
        </w:tc>
        <w:tc>
          <w:tcPr>
            <w:tcW w:w="1606" w:type="dxa"/>
            <w:shd w:val="clear" w:color="auto" w:fill="000000"/>
            <w:tcMar>
              <w:top w:w="72" w:type="dxa"/>
              <w:left w:w="72" w:type="dxa"/>
              <w:bottom w:w="72" w:type="dxa"/>
              <w:right w:w="72" w:type="dxa"/>
            </w:tcMar>
            <w:hideMark/>
          </w:tcPr>
          <w:p w14:paraId="5808DA79" w14:textId="77777777" w:rsidR="00786D29" w:rsidRPr="00786D29" w:rsidRDefault="00786D29" w:rsidP="00786D29">
            <w:pPr>
              <w:spacing w:after="0" w:line="240" w:lineRule="auto"/>
              <w:rPr>
                <w:rFonts w:ascii="Aptos" w:eastAsia="Arial" w:hAnsi="Aptos" w:cs="Arial"/>
                <w:sz w:val="24"/>
                <w:szCs w:val="24"/>
              </w:rPr>
            </w:pPr>
            <w:r w:rsidRPr="00786D29">
              <w:rPr>
                <w:rFonts w:ascii="Aptos" w:eastAsia="Arial" w:hAnsi="Aptos" w:cs="Arial"/>
                <w:b/>
                <w:bCs/>
                <w:sz w:val="24"/>
                <w:szCs w:val="24"/>
              </w:rPr>
              <w:t>IRAC</w:t>
            </w:r>
          </w:p>
        </w:tc>
      </w:tr>
      <w:tr w:rsidR="00786D29" w:rsidRPr="00786D29" w14:paraId="414A447F" w14:textId="77777777" w:rsidTr="00C31154">
        <w:trPr>
          <w:trHeight w:val="65"/>
        </w:trPr>
        <w:tc>
          <w:tcPr>
            <w:tcW w:w="2966" w:type="dxa"/>
            <w:tcMar>
              <w:top w:w="72" w:type="dxa"/>
              <w:left w:w="72" w:type="dxa"/>
              <w:bottom w:w="72" w:type="dxa"/>
              <w:right w:w="72" w:type="dxa"/>
            </w:tcMar>
            <w:vAlign w:val="center"/>
            <w:hideMark/>
          </w:tcPr>
          <w:p w14:paraId="5EE6C202" w14:textId="77777777" w:rsidR="00786D29" w:rsidRPr="00786D29" w:rsidRDefault="00786D29" w:rsidP="00786D29">
            <w:pPr>
              <w:spacing w:after="0" w:line="240" w:lineRule="auto"/>
              <w:jc w:val="center"/>
              <w:rPr>
                <w:rFonts w:ascii="Aptos" w:eastAsia="Arial" w:hAnsi="Aptos" w:cs="Arial"/>
                <w:sz w:val="24"/>
                <w:szCs w:val="24"/>
              </w:rPr>
            </w:pPr>
            <w:r w:rsidRPr="00786D29">
              <w:rPr>
                <w:rFonts w:ascii="Aptos" w:hAnsi="Aptos" w:cs="Arial"/>
                <w:sz w:val="24"/>
                <w:szCs w:val="24"/>
              </w:rPr>
              <w:t>Fufill</w:t>
            </w:r>
          </w:p>
        </w:tc>
        <w:tc>
          <w:tcPr>
            <w:tcW w:w="2962" w:type="dxa"/>
            <w:vAlign w:val="center"/>
          </w:tcPr>
          <w:p w14:paraId="55ADBD69" w14:textId="77777777" w:rsidR="00786D29" w:rsidRPr="00786D29" w:rsidRDefault="00786D29" w:rsidP="00786D29">
            <w:pPr>
              <w:spacing w:after="0" w:line="240" w:lineRule="auto"/>
              <w:jc w:val="center"/>
              <w:rPr>
                <w:rFonts w:ascii="Aptos" w:eastAsia="Arial" w:hAnsi="Aptos" w:cs="Arial"/>
                <w:i/>
                <w:iCs/>
                <w:sz w:val="24"/>
                <w:szCs w:val="24"/>
              </w:rPr>
            </w:pPr>
            <w:r w:rsidRPr="00786D29">
              <w:rPr>
                <w:rFonts w:ascii="Aptos" w:eastAsia="Arial" w:hAnsi="Aptos" w:cs="Arial"/>
                <w:i/>
                <w:iCs/>
                <w:sz w:val="24"/>
                <w:szCs w:val="24"/>
              </w:rPr>
              <w:t>pymetrozine</w:t>
            </w:r>
          </w:p>
        </w:tc>
        <w:tc>
          <w:tcPr>
            <w:tcW w:w="2090" w:type="dxa"/>
            <w:tcMar>
              <w:top w:w="72" w:type="dxa"/>
              <w:left w:w="72" w:type="dxa"/>
              <w:bottom w:w="72" w:type="dxa"/>
              <w:right w:w="72" w:type="dxa"/>
            </w:tcMar>
            <w:vAlign w:val="center"/>
            <w:hideMark/>
          </w:tcPr>
          <w:p w14:paraId="05485A90" w14:textId="77777777" w:rsidR="00786D29" w:rsidRPr="00786D29" w:rsidRDefault="00786D29" w:rsidP="00786D29">
            <w:pPr>
              <w:spacing w:after="0" w:line="240" w:lineRule="auto"/>
              <w:jc w:val="center"/>
              <w:rPr>
                <w:rFonts w:ascii="Aptos" w:eastAsia="Arial" w:hAnsi="Aptos" w:cs="Arial"/>
                <w:i/>
                <w:iCs/>
                <w:sz w:val="24"/>
                <w:szCs w:val="24"/>
              </w:rPr>
            </w:pPr>
            <w:r w:rsidRPr="00786D29">
              <w:rPr>
                <w:rFonts w:ascii="Aptos" w:eastAsia="Arial" w:hAnsi="Aptos" w:cs="Arial"/>
                <w:i/>
                <w:iCs/>
                <w:sz w:val="24"/>
                <w:szCs w:val="24"/>
              </w:rPr>
              <w:t>2.75</w:t>
            </w:r>
          </w:p>
        </w:tc>
        <w:tc>
          <w:tcPr>
            <w:tcW w:w="1606" w:type="dxa"/>
            <w:shd w:val="clear" w:color="auto" w:fill="70AD47" w:themeFill="accent6"/>
            <w:tcMar>
              <w:top w:w="72" w:type="dxa"/>
              <w:left w:w="72" w:type="dxa"/>
              <w:bottom w:w="72" w:type="dxa"/>
              <w:right w:w="72" w:type="dxa"/>
            </w:tcMar>
            <w:vAlign w:val="center"/>
          </w:tcPr>
          <w:p w14:paraId="43C6EBA0" w14:textId="77777777" w:rsidR="00786D29" w:rsidRPr="00786D29" w:rsidRDefault="00786D29" w:rsidP="00786D29">
            <w:pPr>
              <w:spacing w:after="0" w:line="240" w:lineRule="auto"/>
              <w:jc w:val="center"/>
              <w:rPr>
                <w:rFonts w:ascii="Aptos" w:eastAsia="Arial" w:hAnsi="Aptos" w:cs="Arial"/>
                <w:b/>
                <w:bCs/>
                <w:sz w:val="24"/>
                <w:szCs w:val="24"/>
              </w:rPr>
            </w:pPr>
            <w:r w:rsidRPr="00786D29">
              <w:rPr>
                <w:rFonts w:ascii="Aptos" w:eastAsia="Arial" w:hAnsi="Aptos" w:cs="Arial"/>
                <w:b/>
                <w:bCs/>
                <w:sz w:val="24"/>
                <w:szCs w:val="24"/>
              </w:rPr>
              <w:t>9B</w:t>
            </w:r>
          </w:p>
        </w:tc>
      </w:tr>
      <w:tr w:rsidR="00786D29" w:rsidRPr="00786D29" w14:paraId="54D5AFC7" w14:textId="77777777" w:rsidTr="00C31154">
        <w:trPr>
          <w:trHeight w:val="40"/>
        </w:trPr>
        <w:tc>
          <w:tcPr>
            <w:tcW w:w="2966" w:type="dxa"/>
            <w:tcMar>
              <w:top w:w="72" w:type="dxa"/>
              <w:left w:w="72" w:type="dxa"/>
              <w:bottom w:w="72" w:type="dxa"/>
              <w:right w:w="72" w:type="dxa"/>
            </w:tcMar>
            <w:vAlign w:val="center"/>
            <w:hideMark/>
          </w:tcPr>
          <w:p w14:paraId="5932A124" w14:textId="3B7DBB9A" w:rsidR="00786D29" w:rsidRPr="00786D29" w:rsidRDefault="00786D29" w:rsidP="00786D29">
            <w:pPr>
              <w:spacing w:after="0" w:line="240" w:lineRule="auto"/>
              <w:jc w:val="center"/>
              <w:rPr>
                <w:rFonts w:ascii="Aptos" w:eastAsia="Arial" w:hAnsi="Aptos" w:cs="Arial"/>
                <w:sz w:val="24"/>
                <w:szCs w:val="24"/>
              </w:rPr>
            </w:pPr>
            <w:r w:rsidRPr="00786D29">
              <w:rPr>
                <w:rFonts w:ascii="Aptos" w:eastAsia="Arial" w:hAnsi="Aptos" w:cs="Arial"/>
                <w:sz w:val="24"/>
                <w:szCs w:val="24"/>
              </w:rPr>
              <w:t>Exirel</w:t>
            </w:r>
          </w:p>
        </w:tc>
        <w:tc>
          <w:tcPr>
            <w:tcW w:w="2962" w:type="dxa"/>
            <w:vAlign w:val="center"/>
          </w:tcPr>
          <w:p w14:paraId="065CB63A" w14:textId="6A9D9BBB" w:rsidR="00786D29" w:rsidRPr="00786D29" w:rsidRDefault="00C31154" w:rsidP="00786D29">
            <w:pPr>
              <w:spacing w:after="0" w:line="240" w:lineRule="auto"/>
              <w:jc w:val="center"/>
              <w:rPr>
                <w:rFonts w:ascii="Aptos" w:eastAsia="Arial" w:hAnsi="Aptos" w:cs="Arial"/>
                <w:i/>
                <w:iCs/>
                <w:sz w:val="24"/>
                <w:szCs w:val="24"/>
              </w:rPr>
            </w:pPr>
            <w:r w:rsidRPr="00C31154">
              <w:rPr>
                <w:rFonts w:ascii="Aptos" w:eastAsia="Arial" w:hAnsi="Aptos" w:cs="Arial"/>
                <w:i/>
                <w:iCs/>
                <w:sz w:val="24"/>
                <w:szCs w:val="24"/>
              </w:rPr>
              <w:t>cyantraniliprole</w:t>
            </w:r>
          </w:p>
        </w:tc>
        <w:tc>
          <w:tcPr>
            <w:tcW w:w="2090" w:type="dxa"/>
            <w:tcMar>
              <w:top w:w="72" w:type="dxa"/>
              <w:left w:w="72" w:type="dxa"/>
              <w:bottom w:w="72" w:type="dxa"/>
              <w:right w:w="72" w:type="dxa"/>
            </w:tcMar>
            <w:vAlign w:val="center"/>
            <w:hideMark/>
          </w:tcPr>
          <w:p w14:paraId="2DC781E0" w14:textId="77777777" w:rsidR="00786D29" w:rsidRPr="00786D29" w:rsidRDefault="00786D29" w:rsidP="00786D29">
            <w:pPr>
              <w:spacing w:after="0" w:line="240" w:lineRule="auto"/>
              <w:jc w:val="center"/>
              <w:rPr>
                <w:rFonts w:ascii="Aptos" w:eastAsia="Arial" w:hAnsi="Aptos" w:cs="Arial"/>
                <w:i/>
                <w:iCs/>
                <w:sz w:val="24"/>
                <w:szCs w:val="24"/>
              </w:rPr>
            </w:pPr>
            <w:r w:rsidRPr="00786D29">
              <w:rPr>
                <w:rFonts w:ascii="Aptos" w:eastAsia="Arial" w:hAnsi="Aptos" w:cs="Arial"/>
                <w:i/>
                <w:iCs/>
                <w:sz w:val="24"/>
                <w:szCs w:val="24"/>
              </w:rPr>
              <w:t>16.4</w:t>
            </w:r>
          </w:p>
        </w:tc>
        <w:tc>
          <w:tcPr>
            <w:tcW w:w="1606" w:type="dxa"/>
            <w:shd w:val="clear" w:color="auto" w:fill="9CC2E5" w:themeFill="accent5" w:themeFillTint="99"/>
            <w:tcMar>
              <w:top w:w="72" w:type="dxa"/>
              <w:left w:w="72" w:type="dxa"/>
              <w:bottom w:w="72" w:type="dxa"/>
              <w:right w:w="72" w:type="dxa"/>
            </w:tcMar>
            <w:vAlign w:val="center"/>
          </w:tcPr>
          <w:p w14:paraId="59CE27B2" w14:textId="77777777" w:rsidR="00786D29" w:rsidRPr="00786D29" w:rsidRDefault="00786D29" w:rsidP="00786D29">
            <w:pPr>
              <w:spacing w:after="0" w:line="240" w:lineRule="auto"/>
              <w:jc w:val="center"/>
              <w:rPr>
                <w:rFonts w:ascii="Aptos" w:eastAsia="Arial" w:hAnsi="Aptos" w:cs="Arial"/>
                <w:b/>
                <w:bCs/>
                <w:sz w:val="24"/>
                <w:szCs w:val="24"/>
              </w:rPr>
            </w:pPr>
            <w:r w:rsidRPr="00786D29">
              <w:rPr>
                <w:rFonts w:ascii="Aptos" w:eastAsia="Arial" w:hAnsi="Aptos" w:cs="Arial"/>
                <w:b/>
                <w:bCs/>
                <w:sz w:val="24"/>
                <w:szCs w:val="24"/>
              </w:rPr>
              <w:t>28</w:t>
            </w:r>
          </w:p>
        </w:tc>
      </w:tr>
      <w:tr w:rsidR="00786D29" w:rsidRPr="00786D29" w14:paraId="3B0A0295" w14:textId="77777777" w:rsidTr="00C31154">
        <w:trPr>
          <w:trHeight w:val="40"/>
        </w:trPr>
        <w:tc>
          <w:tcPr>
            <w:tcW w:w="2966" w:type="dxa"/>
            <w:tcMar>
              <w:top w:w="72" w:type="dxa"/>
              <w:left w:w="72" w:type="dxa"/>
              <w:bottom w:w="72" w:type="dxa"/>
              <w:right w:w="72" w:type="dxa"/>
            </w:tcMar>
            <w:vAlign w:val="center"/>
            <w:hideMark/>
          </w:tcPr>
          <w:p w14:paraId="24C55683" w14:textId="77777777" w:rsidR="00786D29" w:rsidRPr="00786D29" w:rsidRDefault="00786D29" w:rsidP="00786D29">
            <w:pPr>
              <w:spacing w:after="0" w:line="240" w:lineRule="auto"/>
              <w:jc w:val="center"/>
              <w:rPr>
                <w:rFonts w:ascii="Aptos" w:eastAsia="Arial" w:hAnsi="Aptos" w:cs="Arial"/>
                <w:sz w:val="24"/>
                <w:szCs w:val="24"/>
              </w:rPr>
            </w:pPr>
            <w:r w:rsidRPr="00786D29">
              <w:rPr>
                <w:rFonts w:ascii="Aptos" w:eastAsia="Arial" w:hAnsi="Aptos" w:cs="Arial"/>
                <w:sz w:val="24"/>
                <w:szCs w:val="24"/>
              </w:rPr>
              <w:t>Beleaf</w:t>
            </w:r>
          </w:p>
        </w:tc>
        <w:tc>
          <w:tcPr>
            <w:tcW w:w="2962" w:type="dxa"/>
            <w:vAlign w:val="center"/>
          </w:tcPr>
          <w:p w14:paraId="4194A4AD" w14:textId="77777777" w:rsidR="00786D29" w:rsidRPr="00786D29" w:rsidRDefault="00786D29" w:rsidP="00786D29">
            <w:pPr>
              <w:spacing w:after="0" w:line="240" w:lineRule="auto"/>
              <w:jc w:val="center"/>
              <w:rPr>
                <w:rFonts w:ascii="Aptos" w:eastAsia="Arial" w:hAnsi="Aptos" w:cs="Arial"/>
                <w:i/>
                <w:iCs/>
                <w:sz w:val="24"/>
                <w:szCs w:val="24"/>
              </w:rPr>
            </w:pPr>
            <w:r w:rsidRPr="00786D29">
              <w:rPr>
                <w:rFonts w:ascii="Aptos" w:eastAsia="Arial" w:hAnsi="Aptos" w:cs="Arial"/>
                <w:i/>
                <w:iCs/>
                <w:sz w:val="24"/>
                <w:szCs w:val="24"/>
              </w:rPr>
              <w:t>flonicamid</w:t>
            </w:r>
          </w:p>
        </w:tc>
        <w:tc>
          <w:tcPr>
            <w:tcW w:w="2090" w:type="dxa"/>
            <w:tcMar>
              <w:top w:w="72" w:type="dxa"/>
              <w:left w:w="72" w:type="dxa"/>
              <w:bottom w:w="72" w:type="dxa"/>
              <w:right w:w="72" w:type="dxa"/>
            </w:tcMar>
            <w:vAlign w:val="center"/>
            <w:hideMark/>
          </w:tcPr>
          <w:p w14:paraId="7E7E4674" w14:textId="77777777" w:rsidR="00786D29" w:rsidRPr="00786D29" w:rsidRDefault="00786D29" w:rsidP="00786D29">
            <w:pPr>
              <w:spacing w:after="0" w:line="240" w:lineRule="auto"/>
              <w:jc w:val="center"/>
              <w:rPr>
                <w:rFonts w:ascii="Aptos" w:eastAsia="Arial" w:hAnsi="Aptos" w:cs="Arial"/>
                <w:i/>
                <w:iCs/>
                <w:sz w:val="24"/>
                <w:szCs w:val="24"/>
              </w:rPr>
            </w:pPr>
            <w:r w:rsidRPr="00786D29">
              <w:rPr>
                <w:rFonts w:ascii="Aptos" w:eastAsia="Arial" w:hAnsi="Aptos" w:cs="Arial"/>
                <w:i/>
                <w:iCs/>
                <w:sz w:val="24"/>
                <w:szCs w:val="24"/>
              </w:rPr>
              <w:t>2.8</w:t>
            </w:r>
          </w:p>
        </w:tc>
        <w:tc>
          <w:tcPr>
            <w:tcW w:w="1606" w:type="dxa"/>
            <w:shd w:val="clear" w:color="auto" w:fill="FF5BAD"/>
            <w:tcMar>
              <w:top w:w="72" w:type="dxa"/>
              <w:left w:w="72" w:type="dxa"/>
              <w:bottom w:w="72" w:type="dxa"/>
              <w:right w:w="72" w:type="dxa"/>
            </w:tcMar>
            <w:vAlign w:val="center"/>
          </w:tcPr>
          <w:p w14:paraId="4D61C687" w14:textId="77777777" w:rsidR="00786D29" w:rsidRPr="00786D29" w:rsidRDefault="00786D29" w:rsidP="00786D29">
            <w:pPr>
              <w:spacing w:after="0" w:line="240" w:lineRule="auto"/>
              <w:jc w:val="center"/>
              <w:rPr>
                <w:rFonts w:ascii="Aptos" w:eastAsia="Arial" w:hAnsi="Aptos" w:cs="Arial"/>
                <w:b/>
                <w:bCs/>
                <w:sz w:val="24"/>
                <w:szCs w:val="24"/>
              </w:rPr>
            </w:pPr>
            <w:r w:rsidRPr="00786D29">
              <w:rPr>
                <w:rFonts w:ascii="Aptos" w:eastAsia="Arial" w:hAnsi="Aptos" w:cs="Arial"/>
                <w:b/>
                <w:bCs/>
                <w:sz w:val="24"/>
                <w:szCs w:val="24"/>
              </w:rPr>
              <w:t>29</w:t>
            </w:r>
          </w:p>
        </w:tc>
      </w:tr>
      <w:tr w:rsidR="00786D29" w:rsidRPr="00786D29" w14:paraId="15C18C9C" w14:textId="77777777" w:rsidTr="00C31154">
        <w:trPr>
          <w:trHeight w:val="40"/>
        </w:trPr>
        <w:tc>
          <w:tcPr>
            <w:tcW w:w="2966" w:type="dxa"/>
            <w:tcMar>
              <w:top w:w="72" w:type="dxa"/>
              <w:left w:w="72" w:type="dxa"/>
              <w:bottom w:w="72" w:type="dxa"/>
              <w:right w:w="72" w:type="dxa"/>
            </w:tcMar>
            <w:vAlign w:val="center"/>
            <w:hideMark/>
          </w:tcPr>
          <w:p w14:paraId="0A11EA4B" w14:textId="77777777" w:rsidR="00786D29" w:rsidRPr="00786D29" w:rsidRDefault="00786D29" w:rsidP="00786D29">
            <w:pPr>
              <w:spacing w:after="0" w:line="240" w:lineRule="auto"/>
              <w:jc w:val="center"/>
              <w:rPr>
                <w:rFonts w:ascii="Aptos" w:eastAsia="Arial" w:hAnsi="Aptos" w:cs="Arial"/>
                <w:sz w:val="24"/>
                <w:szCs w:val="24"/>
              </w:rPr>
            </w:pPr>
            <w:r w:rsidRPr="00786D29">
              <w:rPr>
                <w:rFonts w:ascii="Aptos" w:eastAsia="Arial" w:hAnsi="Aptos" w:cs="Arial"/>
                <w:sz w:val="24"/>
                <w:szCs w:val="24"/>
              </w:rPr>
              <w:t>Warrior II</w:t>
            </w:r>
          </w:p>
        </w:tc>
        <w:tc>
          <w:tcPr>
            <w:tcW w:w="2962" w:type="dxa"/>
            <w:vAlign w:val="center"/>
          </w:tcPr>
          <w:p w14:paraId="6C5602C1" w14:textId="77777777" w:rsidR="00786D29" w:rsidRPr="00786D29" w:rsidRDefault="00786D29" w:rsidP="00786D29">
            <w:pPr>
              <w:spacing w:after="0" w:line="240" w:lineRule="auto"/>
              <w:jc w:val="center"/>
              <w:rPr>
                <w:rFonts w:ascii="Aptos" w:eastAsia="Arial" w:hAnsi="Aptos" w:cs="Arial"/>
                <w:i/>
                <w:iCs/>
                <w:sz w:val="24"/>
                <w:szCs w:val="24"/>
              </w:rPr>
            </w:pPr>
            <w:r w:rsidRPr="00786D29">
              <w:rPr>
                <w:rFonts w:ascii="Aptos" w:eastAsia="Arial" w:hAnsi="Aptos" w:cs="Arial"/>
                <w:i/>
                <w:iCs/>
                <w:sz w:val="24"/>
                <w:szCs w:val="24"/>
              </w:rPr>
              <w:t>Λ-cyhalothrin</w:t>
            </w:r>
          </w:p>
        </w:tc>
        <w:tc>
          <w:tcPr>
            <w:tcW w:w="2090" w:type="dxa"/>
            <w:tcMar>
              <w:top w:w="72" w:type="dxa"/>
              <w:left w:w="72" w:type="dxa"/>
              <w:bottom w:w="72" w:type="dxa"/>
              <w:right w:w="72" w:type="dxa"/>
            </w:tcMar>
            <w:vAlign w:val="center"/>
            <w:hideMark/>
          </w:tcPr>
          <w:p w14:paraId="3AB49934" w14:textId="77777777" w:rsidR="00786D29" w:rsidRPr="00786D29" w:rsidRDefault="00786D29" w:rsidP="00786D29">
            <w:pPr>
              <w:spacing w:after="0" w:line="240" w:lineRule="auto"/>
              <w:jc w:val="center"/>
              <w:rPr>
                <w:rFonts w:ascii="Aptos" w:eastAsia="Arial" w:hAnsi="Aptos" w:cs="Arial"/>
                <w:i/>
                <w:iCs/>
                <w:sz w:val="24"/>
                <w:szCs w:val="24"/>
              </w:rPr>
            </w:pPr>
            <w:r w:rsidRPr="00786D29">
              <w:rPr>
                <w:rFonts w:ascii="Aptos" w:eastAsia="Arial" w:hAnsi="Aptos" w:cs="Arial"/>
                <w:i/>
                <w:iCs/>
                <w:sz w:val="24"/>
                <w:szCs w:val="24"/>
              </w:rPr>
              <w:t>1.92</w:t>
            </w:r>
          </w:p>
        </w:tc>
        <w:tc>
          <w:tcPr>
            <w:tcW w:w="1606" w:type="dxa"/>
            <w:shd w:val="clear" w:color="auto" w:fill="A5A5A5" w:themeFill="accent3"/>
            <w:tcMar>
              <w:top w:w="72" w:type="dxa"/>
              <w:left w:w="72" w:type="dxa"/>
              <w:bottom w:w="72" w:type="dxa"/>
              <w:right w:w="72" w:type="dxa"/>
            </w:tcMar>
            <w:vAlign w:val="center"/>
          </w:tcPr>
          <w:p w14:paraId="3D6639BB" w14:textId="77777777" w:rsidR="00786D29" w:rsidRPr="00786D29" w:rsidRDefault="00786D29" w:rsidP="00786D29">
            <w:pPr>
              <w:spacing w:after="0" w:line="240" w:lineRule="auto"/>
              <w:jc w:val="center"/>
              <w:rPr>
                <w:rFonts w:ascii="Aptos" w:eastAsia="Arial" w:hAnsi="Aptos" w:cs="Arial"/>
                <w:b/>
                <w:bCs/>
                <w:sz w:val="24"/>
                <w:szCs w:val="24"/>
              </w:rPr>
            </w:pPr>
            <w:r w:rsidRPr="00786D29">
              <w:rPr>
                <w:rFonts w:ascii="Aptos" w:eastAsia="Arial" w:hAnsi="Aptos" w:cs="Arial"/>
                <w:b/>
                <w:bCs/>
                <w:sz w:val="24"/>
                <w:szCs w:val="24"/>
              </w:rPr>
              <w:t>3</w:t>
            </w:r>
          </w:p>
        </w:tc>
      </w:tr>
      <w:tr w:rsidR="00786D29" w:rsidRPr="00786D29" w14:paraId="3BDD9BA8" w14:textId="77777777" w:rsidTr="00C31154">
        <w:trPr>
          <w:trHeight w:val="40"/>
        </w:trPr>
        <w:tc>
          <w:tcPr>
            <w:tcW w:w="2966" w:type="dxa"/>
            <w:tcMar>
              <w:top w:w="72" w:type="dxa"/>
              <w:left w:w="72" w:type="dxa"/>
              <w:bottom w:w="72" w:type="dxa"/>
              <w:right w:w="72" w:type="dxa"/>
            </w:tcMar>
            <w:vAlign w:val="center"/>
            <w:hideMark/>
          </w:tcPr>
          <w:p w14:paraId="3D3BEFB3" w14:textId="77777777" w:rsidR="00786D29" w:rsidRPr="00786D29" w:rsidRDefault="00786D29" w:rsidP="00786D29">
            <w:pPr>
              <w:spacing w:after="0" w:line="240" w:lineRule="auto"/>
              <w:jc w:val="center"/>
              <w:rPr>
                <w:rFonts w:ascii="Aptos" w:eastAsia="Arial" w:hAnsi="Aptos" w:cs="Arial"/>
                <w:sz w:val="24"/>
                <w:szCs w:val="24"/>
              </w:rPr>
            </w:pPr>
            <w:r w:rsidRPr="00786D29">
              <w:rPr>
                <w:rFonts w:ascii="Aptos" w:eastAsia="Arial" w:hAnsi="Aptos" w:cs="Arial"/>
                <w:sz w:val="24"/>
                <w:szCs w:val="24"/>
              </w:rPr>
              <w:t>Actara</w:t>
            </w:r>
          </w:p>
        </w:tc>
        <w:tc>
          <w:tcPr>
            <w:tcW w:w="2962" w:type="dxa"/>
            <w:vAlign w:val="center"/>
          </w:tcPr>
          <w:p w14:paraId="3F677441" w14:textId="77777777" w:rsidR="00786D29" w:rsidRPr="00786D29" w:rsidRDefault="00786D29" w:rsidP="00786D29">
            <w:pPr>
              <w:spacing w:after="0" w:line="240" w:lineRule="auto"/>
              <w:jc w:val="center"/>
              <w:rPr>
                <w:rFonts w:ascii="Aptos" w:eastAsia="Arial" w:hAnsi="Aptos" w:cs="Arial"/>
                <w:i/>
                <w:iCs/>
                <w:sz w:val="24"/>
                <w:szCs w:val="24"/>
              </w:rPr>
            </w:pPr>
            <w:r w:rsidRPr="00786D29">
              <w:rPr>
                <w:rFonts w:ascii="Aptos" w:eastAsia="Arial" w:hAnsi="Aptos" w:cs="Arial"/>
                <w:i/>
                <w:iCs/>
                <w:sz w:val="24"/>
                <w:szCs w:val="24"/>
              </w:rPr>
              <w:t>thiamethoxam</w:t>
            </w:r>
          </w:p>
        </w:tc>
        <w:tc>
          <w:tcPr>
            <w:tcW w:w="2090" w:type="dxa"/>
            <w:tcMar>
              <w:top w:w="72" w:type="dxa"/>
              <w:left w:w="72" w:type="dxa"/>
              <w:bottom w:w="72" w:type="dxa"/>
              <w:right w:w="72" w:type="dxa"/>
            </w:tcMar>
            <w:vAlign w:val="center"/>
            <w:hideMark/>
          </w:tcPr>
          <w:p w14:paraId="7EE3AD5D" w14:textId="77777777" w:rsidR="00786D29" w:rsidRPr="00786D29" w:rsidRDefault="00786D29" w:rsidP="00786D29">
            <w:pPr>
              <w:spacing w:after="0" w:line="240" w:lineRule="auto"/>
              <w:jc w:val="center"/>
              <w:rPr>
                <w:rFonts w:ascii="Aptos" w:eastAsia="Arial" w:hAnsi="Aptos" w:cs="Arial"/>
                <w:i/>
                <w:iCs/>
                <w:sz w:val="24"/>
                <w:szCs w:val="24"/>
              </w:rPr>
            </w:pPr>
            <w:r w:rsidRPr="00786D29">
              <w:rPr>
                <w:rFonts w:ascii="Aptos" w:eastAsia="Arial" w:hAnsi="Aptos" w:cs="Arial"/>
                <w:i/>
                <w:iCs/>
                <w:sz w:val="24"/>
                <w:szCs w:val="24"/>
              </w:rPr>
              <w:t>3.0</w:t>
            </w:r>
          </w:p>
        </w:tc>
        <w:tc>
          <w:tcPr>
            <w:tcW w:w="1606" w:type="dxa"/>
            <w:shd w:val="clear" w:color="auto" w:fill="FFCC66"/>
            <w:tcMar>
              <w:top w:w="72" w:type="dxa"/>
              <w:left w:w="72" w:type="dxa"/>
              <w:bottom w:w="72" w:type="dxa"/>
              <w:right w:w="72" w:type="dxa"/>
            </w:tcMar>
            <w:vAlign w:val="center"/>
          </w:tcPr>
          <w:p w14:paraId="7F7EBB1F" w14:textId="77777777" w:rsidR="00786D29" w:rsidRPr="00786D29" w:rsidRDefault="00786D29" w:rsidP="00786D29">
            <w:pPr>
              <w:spacing w:after="0" w:line="240" w:lineRule="auto"/>
              <w:jc w:val="center"/>
              <w:rPr>
                <w:rFonts w:ascii="Aptos" w:eastAsia="Arial" w:hAnsi="Aptos" w:cs="Arial"/>
                <w:b/>
                <w:bCs/>
                <w:sz w:val="24"/>
                <w:szCs w:val="24"/>
              </w:rPr>
            </w:pPr>
            <w:r w:rsidRPr="00786D29">
              <w:rPr>
                <w:rFonts w:ascii="Aptos" w:eastAsia="Arial" w:hAnsi="Aptos" w:cs="Arial"/>
                <w:b/>
                <w:bCs/>
                <w:sz w:val="24"/>
                <w:szCs w:val="24"/>
              </w:rPr>
              <w:t>4</w:t>
            </w:r>
          </w:p>
        </w:tc>
      </w:tr>
      <w:tr w:rsidR="00786D29" w:rsidRPr="00786D29" w14:paraId="3A779748" w14:textId="77777777" w:rsidTr="00786D29">
        <w:trPr>
          <w:trHeight w:val="2"/>
        </w:trPr>
        <w:tc>
          <w:tcPr>
            <w:tcW w:w="8018" w:type="dxa"/>
            <w:gridSpan w:val="3"/>
            <w:vAlign w:val="center"/>
          </w:tcPr>
          <w:p w14:paraId="3FA95E90" w14:textId="77777777" w:rsidR="00786D29" w:rsidRPr="00786D29" w:rsidRDefault="00786D29" w:rsidP="00786D29">
            <w:pPr>
              <w:spacing w:after="0" w:line="240" w:lineRule="auto"/>
              <w:jc w:val="center"/>
              <w:rPr>
                <w:rFonts w:ascii="Aptos" w:eastAsia="Arial" w:hAnsi="Aptos" w:cs="Arial"/>
                <w:sz w:val="24"/>
                <w:szCs w:val="24"/>
              </w:rPr>
            </w:pPr>
            <w:r w:rsidRPr="00786D29">
              <w:rPr>
                <w:rFonts w:ascii="Aptos" w:eastAsia="Arial" w:hAnsi="Aptos" w:cs="Arial"/>
                <w:sz w:val="24"/>
                <w:szCs w:val="24"/>
              </w:rPr>
              <w:t>Untreated Control</w:t>
            </w:r>
          </w:p>
        </w:tc>
        <w:tc>
          <w:tcPr>
            <w:tcW w:w="1606" w:type="dxa"/>
            <w:tcMar>
              <w:top w:w="72" w:type="dxa"/>
              <w:left w:w="72" w:type="dxa"/>
              <w:bottom w:w="72" w:type="dxa"/>
              <w:right w:w="72" w:type="dxa"/>
            </w:tcMar>
            <w:vAlign w:val="center"/>
            <w:hideMark/>
          </w:tcPr>
          <w:p w14:paraId="5F9D8EAE" w14:textId="77777777" w:rsidR="00786D29" w:rsidRPr="00786D29" w:rsidRDefault="00786D29" w:rsidP="00786D29">
            <w:pPr>
              <w:spacing w:after="0" w:line="240" w:lineRule="auto"/>
              <w:jc w:val="center"/>
              <w:rPr>
                <w:rFonts w:ascii="Aptos" w:eastAsia="Arial" w:hAnsi="Aptos" w:cs="Arial"/>
                <w:sz w:val="24"/>
                <w:szCs w:val="24"/>
              </w:rPr>
            </w:pPr>
            <w:r w:rsidRPr="00786D29">
              <w:rPr>
                <w:rFonts w:ascii="Aptos" w:eastAsia="Arial" w:hAnsi="Aptos" w:cs="Arial"/>
                <w:sz w:val="24"/>
                <w:szCs w:val="24"/>
              </w:rPr>
              <w:t>n/a</w:t>
            </w:r>
          </w:p>
        </w:tc>
      </w:tr>
      <w:tr w:rsidR="00C31154" w:rsidRPr="00786D29" w14:paraId="162952EE" w14:textId="77777777" w:rsidTr="00023126">
        <w:trPr>
          <w:trHeight w:val="2"/>
        </w:trPr>
        <w:tc>
          <w:tcPr>
            <w:tcW w:w="9624" w:type="dxa"/>
            <w:gridSpan w:val="4"/>
            <w:vAlign w:val="center"/>
          </w:tcPr>
          <w:p w14:paraId="198B758D" w14:textId="6B4EA2B5" w:rsidR="00C31154" w:rsidRPr="00C31154" w:rsidRDefault="00C31154" w:rsidP="00786D29">
            <w:pPr>
              <w:spacing w:after="0" w:line="240" w:lineRule="auto"/>
              <w:jc w:val="center"/>
              <w:rPr>
                <w:rFonts w:ascii="Aptos" w:eastAsia="Arial" w:hAnsi="Aptos" w:cs="Arial"/>
                <w:i/>
                <w:iCs/>
                <w:sz w:val="16"/>
                <w:szCs w:val="16"/>
              </w:rPr>
            </w:pPr>
            <w:r w:rsidRPr="00C31154">
              <w:rPr>
                <w:rFonts w:ascii="Aptos" w:eastAsia="Arial" w:hAnsi="Aptos" w:cs="Arial"/>
                <w:i/>
                <w:iCs/>
                <w:sz w:val="16"/>
                <w:szCs w:val="16"/>
              </w:rPr>
              <w:t>All treatments applied weekly for 5 weeks per crop using CO₂-pressurized R&amp;D sprayer.</w:t>
            </w:r>
          </w:p>
        </w:tc>
      </w:tr>
    </w:tbl>
    <w:p w14:paraId="2F983916" w14:textId="7D8D3E2C" w:rsidR="009E077A" w:rsidRDefault="00CB1B0B" w:rsidP="009628C0">
      <w:pPr>
        <w:spacing w:before="120" w:after="120" w:line="240" w:lineRule="auto"/>
        <w:rPr>
          <w:rFonts w:ascii="Aptos" w:hAnsi="Aptos" w:cs="Arial"/>
          <w:sz w:val="24"/>
          <w:szCs w:val="24"/>
        </w:rPr>
      </w:pPr>
      <w:r>
        <w:rPr>
          <w:rFonts w:ascii="Aptos" w:hAnsi="Aptos" w:cs="Arial"/>
          <w:sz w:val="24"/>
          <w:szCs w:val="24"/>
        </w:rPr>
        <w:t>Seeding densities of crops varied, with 15 total plants in each zucchini plot and approximately 30-40 plants per plot. Ten</w:t>
      </w:r>
      <w:r w:rsidR="009E077A" w:rsidRPr="009E077A">
        <w:rPr>
          <w:rFonts w:ascii="Aptos" w:hAnsi="Aptos" w:cs="Arial"/>
          <w:sz w:val="24"/>
          <w:szCs w:val="24"/>
        </w:rPr>
        <w:t xml:space="preserve"> central plants</w:t>
      </w:r>
      <w:r>
        <w:rPr>
          <w:rFonts w:ascii="Aptos" w:hAnsi="Aptos" w:cs="Arial"/>
          <w:sz w:val="24"/>
          <w:szCs w:val="24"/>
        </w:rPr>
        <w:t xml:space="preserve"> in each plot</w:t>
      </w:r>
      <w:r w:rsidR="009E077A" w:rsidRPr="009E077A">
        <w:rPr>
          <w:rFonts w:ascii="Aptos" w:hAnsi="Aptos" w:cs="Arial"/>
          <w:sz w:val="24"/>
          <w:szCs w:val="24"/>
        </w:rPr>
        <w:t xml:space="preserve"> used for weekly scouting. </w:t>
      </w:r>
      <w:r>
        <w:rPr>
          <w:rFonts w:ascii="Aptos" w:hAnsi="Aptos" w:cs="Arial"/>
          <w:sz w:val="24"/>
          <w:szCs w:val="24"/>
        </w:rPr>
        <w:t xml:space="preserve">Collard green plots were more dense </w:t>
      </w:r>
      <w:r w:rsidR="009E077A" w:rsidRPr="009E077A">
        <w:rPr>
          <w:rFonts w:ascii="Aptos" w:hAnsi="Aptos" w:cs="Arial"/>
          <w:sz w:val="24"/>
          <w:szCs w:val="24"/>
        </w:rPr>
        <w:t>Aphid populations were monitored visually on leaves, flowers, and developing fruit. Concurrently, natural enemies (minute pirate bugs, lady beetles, and syrphid larvae) were recorded from the same plants. Sticky cards were deployed biweekly to quantify flying predators and parasitoids.</w:t>
      </w:r>
    </w:p>
    <w:p w14:paraId="678B3E92" w14:textId="52DEAC14" w:rsidR="006407E5" w:rsidRDefault="006407E5" w:rsidP="009628C0">
      <w:pPr>
        <w:spacing w:before="120" w:after="120" w:line="240" w:lineRule="auto"/>
        <w:rPr>
          <w:rFonts w:ascii="Aptos" w:hAnsi="Aptos" w:cs="Arial"/>
          <w:sz w:val="24"/>
          <w:szCs w:val="24"/>
        </w:rPr>
      </w:pPr>
      <w:r>
        <w:rPr>
          <w:rFonts w:ascii="Aptos" w:hAnsi="Aptos" w:cs="Arial"/>
          <w:sz w:val="24"/>
          <w:szCs w:val="24"/>
        </w:rPr>
        <w:t>Laboratory assay</w:t>
      </w:r>
    </w:p>
    <w:p w14:paraId="6DBD7B6A" w14:textId="77777777" w:rsidR="00490B91" w:rsidRDefault="00490B91" w:rsidP="009628C0">
      <w:pPr>
        <w:spacing w:before="120" w:after="120" w:line="240" w:lineRule="auto"/>
        <w:rPr>
          <w:rFonts w:ascii="Aptos" w:hAnsi="Aptos" w:cs="Arial"/>
          <w:sz w:val="24"/>
          <w:szCs w:val="24"/>
        </w:rPr>
      </w:pPr>
      <w:r w:rsidRPr="00490B91">
        <w:rPr>
          <w:rFonts w:ascii="Aptos" w:hAnsi="Aptos" w:cs="Arial"/>
          <w:sz w:val="24"/>
          <w:szCs w:val="24"/>
        </w:rPr>
        <w:t>We conducted a laboratory bioassay to evaluate the performance of natural enemies (lady beetles and minute pirate bugs) following exposure to insecticide leaf residues (Table 1). Leaves were collected from field plots 24 h after insecticide application and placed individually into Petri dishes. Natural enemies were confined on treated leaf tissue for 48 h, after which they were provided aphid prey. Aphid consumption was monitored for 72 h, and all prey consumed during this period were recorded. Total prey consumption was calculated as the proportion of aphids consumed relative to the total number of aphids provided over the duration of the assay. The assay was replicated twice for each natural enemy species.</w:t>
      </w:r>
    </w:p>
    <w:p w14:paraId="7DD2C4E0" w14:textId="3B41FE17" w:rsidR="009E077A" w:rsidRPr="009E077A" w:rsidRDefault="009E077A" w:rsidP="009628C0">
      <w:pPr>
        <w:spacing w:before="120" w:after="120" w:line="240" w:lineRule="auto"/>
        <w:rPr>
          <w:rFonts w:ascii="Aptos" w:hAnsi="Aptos" w:cs="Arial"/>
          <w:b/>
          <w:bCs/>
          <w:sz w:val="24"/>
          <w:szCs w:val="24"/>
        </w:rPr>
      </w:pPr>
      <w:r w:rsidRPr="009E077A">
        <w:rPr>
          <w:rFonts w:ascii="Aptos" w:hAnsi="Aptos" w:cs="Arial"/>
          <w:b/>
          <w:bCs/>
          <w:sz w:val="24"/>
          <w:szCs w:val="24"/>
        </w:rPr>
        <w:t>Data Collection</w:t>
      </w:r>
    </w:p>
    <w:p w14:paraId="19D7B4F2" w14:textId="606B56A5" w:rsidR="009E077A" w:rsidRPr="009E077A" w:rsidRDefault="009E077A" w:rsidP="009628C0">
      <w:pPr>
        <w:spacing w:before="120" w:after="120" w:line="240" w:lineRule="auto"/>
        <w:rPr>
          <w:rFonts w:ascii="Aptos" w:hAnsi="Aptos" w:cs="Arial"/>
          <w:sz w:val="24"/>
          <w:szCs w:val="24"/>
        </w:rPr>
      </w:pPr>
      <w:r w:rsidRPr="009E077A">
        <w:rPr>
          <w:rFonts w:ascii="Aptos" w:hAnsi="Aptos" w:cs="Arial"/>
          <w:sz w:val="24"/>
          <w:szCs w:val="24"/>
        </w:rPr>
        <w:t xml:space="preserve">Sampling began one week after initial treatment and continued through the end of each application window. Weekly counts were </w:t>
      </w:r>
      <w:r w:rsidR="00201CF3" w:rsidRPr="009628C0">
        <w:rPr>
          <w:rFonts w:ascii="Aptos" w:hAnsi="Aptos" w:cs="Arial"/>
          <w:sz w:val="24"/>
          <w:szCs w:val="24"/>
        </w:rPr>
        <w:t>conducted to calculate the average:</w:t>
      </w:r>
    </w:p>
    <w:p w14:paraId="197BFE39" w14:textId="7021EC18" w:rsidR="009E077A" w:rsidRPr="009E077A" w:rsidRDefault="00201CF3" w:rsidP="009628C0">
      <w:pPr>
        <w:numPr>
          <w:ilvl w:val="0"/>
          <w:numId w:val="7"/>
        </w:numPr>
        <w:spacing w:after="0" w:line="240" w:lineRule="auto"/>
        <w:ind w:left="432"/>
        <w:rPr>
          <w:rFonts w:ascii="Aptos" w:hAnsi="Aptos" w:cs="Arial"/>
          <w:sz w:val="24"/>
          <w:szCs w:val="24"/>
        </w:rPr>
      </w:pPr>
      <w:r w:rsidRPr="009E077A">
        <w:rPr>
          <w:rFonts w:ascii="Aptos" w:hAnsi="Aptos" w:cs="Arial"/>
          <w:sz w:val="24"/>
          <w:szCs w:val="24"/>
        </w:rPr>
        <w:t>Number</w:t>
      </w:r>
      <w:r w:rsidRPr="009628C0">
        <w:rPr>
          <w:rFonts w:ascii="Aptos" w:hAnsi="Aptos" w:cs="Arial"/>
          <w:sz w:val="24"/>
          <w:szCs w:val="24"/>
        </w:rPr>
        <w:t xml:space="preserve"> a</w:t>
      </w:r>
      <w:r w:rsidR="009E077A" w:rsidRPr="009E077A">
        <w:rPr>
          <w:rFonts w:ascii="Aptos" w:hAnsi="Aptos" w:cs="Arial"/>
          <w:sz w:val="24"/>
          <w:szCs w:val="24"/>
        </w:rPr>
        <w:t xml:space="preserve">phids per leaf </w:t>
      </w:r>
    </w:p>
    <w:p w14:paraId="44D4945F" w14:textId="77777777" w:rsidR="009E077A" w:rsidRPr="009E077A" w:rsidRDefault="009E077A" w:rsidP="009628C0">
      <w:pPr>
        <w:numPr>
          <w:ilvl w:val="0"/>
          <w:numId w:val="7"/>
        </w:numPr>
        <w:tabs>
          <w:tab w:val="num" w:pos="720"/>
        </w:tabs>
        <w:spacing w:after="0" w:line="240" w:lineRule="auto"/>
        <w:ind w:left="432"/>
        <w:rPr>
          <w:rFonts w:ascii="Aptos" w:hAnsi="Aptos" w:cs="Arial"/>
          <w:sz w:val="24"/>
          <w:szCs w:val="24"/>
        </w:rPr>
      </w:pPr>
      <w:bookmarkStart w:id="1" w:name="OLE_LINK2"/>
      <w:r w:rsidRPr="009E077A">
        <w:rPr>
          <w:rFonts w:ascii="Aptos" w:hAnsi="Aptos" w:cs="Arial"/>
          <w:sz w:val="24"/>
          <w:szCs w:val="24"/>
        </w:rPr>
        <w:lastRenderedPageBreak/>
        <w:t>Number</w:t>
      </w:r>
      <w:bookmarkEnd w:id="1"/>
      <w:r w:rsidRPr="009E077A">
        <w:rPr>
          <w:rFonts w:ascii="Aptos" w:hAnsi="Aptos" w:cs="Arial"/>
          <w:sz w:val="24"/>
          <w:szCs w:val="24"/>
        </w:rPr>
        <w:t xml:space="preserve">s of key predators (Orius spp., </w:t>
      </w:r>
      <w:r w:rsidRPr="009E077A">
        <w:rPr>
          <w:rFonts w:ascii="Aptos" w:hAnsi="Aptos" w:cs="Arial"/>
          <w:i/>
          <w:iCs/>
          <w:sz w:val="24"/>
          <w:szCs w:val="24"/>
        </w:rPr>
        <w:t>Coccinellidae</w:t>
      </w:r>
      <w:r w:rsidRPr="009E077A">
        <w:rPr>
          <w:rFonts w:ascii="Aptos" w:hAnsi="Aptos" w:cs="Arial"/>
          <w:sz w:val="24"/>
          <w:szCs w:val="24"/>
        </w:rPr>
        <w:t>, Syrphidae larvae).</w:t>
      </w:r>
    </w:p>
    <w:p w14:paraId="5F33D974" w14:textId="77777777" w:rsidR="009E077A" w:rsidRPr="009E077A" w:rsidRDefault="009E077A" w:rsidP="009628C0">
      <w:pPr>
        <w:spacing w:after="0" w:line="240" w:lineRule="auto"/>
        <w:ind w:left="432"/>
        <w:rPr>
          <w:rFonts w:ascii="Aptos" w:hAnsi="Aptos" w:cs="Arial"/>
          <w:sz w:val="24"/>
          <w:szCs w:val="24"/>
        </w:rPr>
      </w:pPr>
      <w:r w:rsidRPr="009E077A">
        <w:rPr>
          <w:rFonts w:ascii="Aptos" w:hAnsi="Aptos" w:cs="Arial"/>
          <w:sz w:val="24"/>
          <w:szCs w:val="24"/>
        </w:rPr>
        <w:t>Seasonal means were calculated for each treatment, and analyses will compare:</w:t>
      </w:r>
    </w:p>
    <w:p w14:paraId="632A30BF" w14:textId="36E1AE09" w:rsidR="009E077A" w:rsidRDefault="00CB1B0B" w:rsidP="009628C0">
      <w:pPr>
        <w:numPr>
          <w:ilvl w:val="0"/>
          <w:numId w:val="8"/>
        </w:numPr>
        <w:spacing w:after="0" w:line="240" w:lineRule="auto"/>
        <w:ind w:left="432"/>
        <w:rPr>
          <w:rFonts w:ascii="Aptos" w:hAnsi="Aptos" w:cs="Arial"/>
          <w:sz w:val="24"/>
          <w:szCs w:val="24"/>
        </w:rPr>
      </w:pPr>
      <w:r>
        <w:rPr>
          <w:rFonts w:ascii="Aptos" w:hAnsi="Aptos" w:cs="Arial"/>
          <w:sz w:val="24"/>
          <w:szCs w:val="24"/>
        </w:rPr>
        <w:t>Insecticide t</w:t>
      </w:r>
      <w:r w:rsidR="009E077A" w:rsidRPr="009E077A">
        <w:rPr>
          <w:rFonts w:ascii="Aptos" w:hAnsi="Aptos" w:cs="Arial"/>
          <w:sz w:val="24"/>
          <w:szCs w:val="24"/>
        </w:rPr>
        <w:t>reatment effects (aphid and natural enemy abundance)</w:t>
      </w:r>
    </w:p>
    <w:p w14:paraId="34909E49" w14:textId="77777777" w:rsidR="009628C0" w:rsidRPr="009E077A" w:rsidRDefault="009628C0" w:rsidP="009628C0">
      <w:pPr>
        <w:spacing w:after="0" w:line="240" w:lineRule="auto"/>
        <w:ind w:left="432"/>
        <w:rPr>
          <w:rFonts w:ascii="Aptos" w:hAnsi="Aptos" w:cs="Arial"/>
          <w:sz w:val="24"/>
          <w:szCs w:val="24"/>
        </w:rPr>
      </w:pPr>
    </w:p>
    <w:p w14:paraId="21C5DD12" w14:textId="77777777" w:rsidR="009E077A" w:rsidRPr="009E077A" w:rsidRDefault="009E077A" w:rsidP="009628C0">
      <w:pPr>
        <w:pBdr>
          <w:bottom w:val="single" w:sz="4" w:space="1" w:color="auto"/>
        </w:pBdr>
        <w:spacing w:before="120" w:after="120" w:line="240" w:lineRule="auto"/>
        <w:rPr>
          <w:rFonts w:ascii="Aptos" w:hAnsi="Aptos" w:cs="Arial"/>
          <w:b/>
          <w:bCs/>
          <w:sz w:val="24"/>
          <w:szCs w:val="24"/>
        </w:rPr>
      </w:pPr>
      <w:r w:rsidRPr="009E077A">
        <w:rPr>
          <w:rFonts w:ascii="Aptos" w:hAnsi="Aptos" w:cs="Arial"/>
          <w:b/>
          <w:bCs/>
          <w:sz w:val="24"/>
          <w:szCs w:val="24"/>
        </w:rPr>
        <w:t>DATA SUMMARY</w:t>
      </w:r>
    </w:p>
    <w:p w14:paraId="3EBED1B5" w14:textId="1D17EE7D" w:rsidR="009E077A" w:rsidRPr="009E077A" w:rsidRDefault="009E077A" w:rsidP="009628C0">
      <w:pPr>
        <w:spacing w:before="120" w:after="120" w:line="240" w:lineRule="auto"/>
        <w:rPr>
          <w:rFonts w:ascii="Aptos" w:hAnsi="Aptos" w:cs="Arial"/>
          <w:b/>
          <w:bCs/>
          <w:sz w:val="24"/>
          <w:szCs w:val="24"/>
        </w:rPr>
      </w:pPr>
      <w:r w:rsidRPr="009E077A">
        <w:rPr>
          <w:rFonts w:ascii="Aptos" w:hAnsi="Aptos" w:cs="Arial"/>
          <w:b/>
          <w:bCs/>
          <w:sz w:val="24"/>
          <w:szCs w:val="24"/>
        </w:rPr>
        <w:t>Aphid Populations</w:t>
      </w:r>
      <w:r w:rsidR="00CB1B0B">
        <w:rPr>
          <w:rFonts w:ascii="Aptos" w:hAnsi="Aptos" w:cs="Arial"/>
          <w:b/>
          <w:bCs/>
          <w:sz w:val="24"/>
          <w:szCs w:val="24"/>
        </w:rPr>
        <w:t xml:space="preserve"> in Field</w:t>
      </w:r>
    </w:p>
    <w:p w14:paraId="397FE23F" w14:textId="067FDB7E" w:rsidR="009E077A" w:rsidRDefault="007F0A0A" w:rsidP="009628C0">
      <w:pPr>
        <w:spacing w:before="120" w:after="120" w:line="240" w:lineRule="auto"/>
        <w:rPr>
          <w:rFonts w:ascii="Aptos" w:hAnsi="Aptos" w:cs="Arial"/>
          <w:sz w:val="24"/>
          <w:szCs w:val="24"/>
        </w:rPr>
      </w:pPr>
      <w:r w:rsidRPr="009628C0">
        <w:rPr>
          <w:rFonts w:ascii="Aptos" w:hAnsi="Aptos" w:cs="Arial"/>
          <w:sz w:val="24"/>
          <w:szCs w:val="24"/>
        </w:rPr>
        <w:t xml:space="preserve">While </w:t>
      </w:r>
      <w:r w:rsidR="00201CF3" w:rsidRPr="009628C0">
        <w:rPr>
          <w:rFonts w:ascii="Aptos" w:hAnsi="Aptos" w:cs="Arial"/>
          <w:sz w:val="24"/>
          <w:szCs w:val="24"/>
        </w:rPr>
        <w:t>trials were seeded</w:t>
      </w:r>
      <w:r w:rsidRPr="009628C0">
        <w:rPr>
          <w:rFonts w:ascii="Aptos" w:hAnsi="Aptos" w:cs="Arial"/>
          <w:sz w:val="24"/>
          <w:szCs w:val="24"/>
        </w:rPr>
        <w:t xml:space="preserve"> in June, </w:t>
      </w:r>
      <w:r w:rsidR="00201CF3" w:rsidRPr="009628C0">
        <w:rPr>
          <w:rFonts w:ascii="Aptos" w:hAnsi="Aptos" w:cs="Arial"/>
          <w:sz w:val="24"/>
          <w:szCs w:val="24"/>
        </w:rPr>
        <w:t>all plots</w:t>
      </w:r>
      <w:r w:rsidRPr="009628C0">
        <w:rPr>
          <w:rFonts w:ascii="Aptos" w:hAnsi="Aptos" w:cs="Arial"/>
          <w:sz w:val="24"/>
          <w:szCs w:val="24"/>
        </w:rPr>
        <w:t xml:space="preserve"> were ultimately terminated due to poor stands, precluding the inclusion of an early season planting to the data analysis. Nevertheless, our p</w:t>
      </w:r>
      <w:r w:rsidR="009E077A" w:rsidRPr="009E077A">
        <w:rPr>
          <w:rFonts w:ascii="Aptos" w:hAnsi="Aptos" w:cs="Arial"/>
          <w:sz w:val="24"/>
          <w:szCs w:val="24"/>
        </w:rPr>
        <w:t xml:space="preserve">reliminary results from the </w:t>
      </w:r>
      <w:r w:rsidRPr="009628C0">
        <w:rPr>
          <w:rFonts w:ascii="Aptos" w:hAnsi="Aptos" w:cs="Arial"/>
          <w:sz w:val="24"/>
          <w:szCs w:val="24"/>
        </w:rPr>
        <w:t xml:space="preserve">second trial </w:t>
      </w:r>
      <w:r w:rsidR="009E077A" w:rsidRPr="009E077A">
        <w:rPr>
          <w:rFonts w:ascii="Aptos" w:hAnsi="Aptos" w:cs="Arial"/>
          <w:sz w:val="24"/>
          <w:szCs w:val="24"/>
        </w:rPr>
        <w:t>indicate that aphid densities were significantly lower in selective chemistries</w:t>
      </w:r>
      <w:r w:rsidR="00201CF3" w:rsidRPr="009628C0">
        <w:rPr>
          <w:rFonts w:ascii="Aptos" w:hAnsi="Aptos" w:cs="Arial"/>
          <w:sz w:val="24"/>
          <w:szCs w:val="24"/>
        </w:rPr>
        <w:t xml:space="preserve">, </w:t>
      </w:r>
      <w:r w:rsidR="009E077A" w:rsidRPr="009E077A">
        <w:rPr>
          <w:rFonts w:ascii="Aptos" w:hAnsi="Aptos" w:cs="Arial"/>
          <w:sz w:val="24"/>
          <w:szCs w:val="24"/>
        </w:rPr>
        <w:t>particularly Beleaf</w:t>
      </w:r>
      <w:r w:rsidR="00201CF3" w:rsidRPr="009628C0">
        <w:rPr>
          <w:rFonts w:ascii="Aptos" w:hAnsi="Aptos" w:cs="Arial"/>
          <w:sz w:val="24"/>
          <w:szCs w:val="24"/>
        </w:rPr>
        <w:t xml:space="preserve">, </w:t>
      </w:r>
      <w:r w:rsidR="009E077A" w:rsidRPr="009E077A">
        <w:rPr>
          <w:rFonts w:ascii="Aptos" w:hAnsi="Aptos" w:cs="Arial"/>
          <w:sz w:val="24"/>
          <w:szCs w:val="24"/>
        </w:rPr>
        <w:t>compared to the untreated control and Warrior II</w:t>
      </w:r>
      <w:r w:rsidR="001D7914">
        <w:rPr>
          <w:rFonts w:ascii="Aptos" w:hAnsi="Aptos" w:cs="Arial"/>
          <w:sz w:val="24"/>
          <w:szCs w:val="24"/>
        </w:rPr>
        <w:t xml:space="preserve"> (Figure 1)</w:t>
      </w:r>
      <w:r w:rsidR="009E077A" w:rsidRPr="009E077A">
        <w:rPr>
          <w:rFonts w:ascii="Aptos" w:hAnsi="Aptos" w:cs="Arial"/>
          <w:sz w:val="24"/>
          <w:szCs w:val="24"/>
        </w:rPr>
        <w:t xml:space="preserve">. </w:t>
      </w:r>
      <w:r w:rsidR="00201CF3" w:rsidRPr="009E077A">
        <w:rPr>
          <w:rFonts w:ascii="Aptos" w:hAnsi="Aptos" w:cs="Arial"/>
          <w:sz w:val="24"/>
          <w:szCs w:val="24"/>
        </w:rPr>
        <w:t xml:space="preserve">As expected, the Warrior II plots experienced secondary aphid flare-ups approximately </w:t>
      </w:r>
      <w:r w:rsidR="00201CF3" w:rsidRPr="009628C0">
        <w:rPr>
          <w:rFonts w:ascii="Aptos" w:hAnsi="Aptos" w:cs="Arial"/>
          <w:sz w:val="24"/>
          <w:szCs w:val="24"/>
        </w:rPr>
        <w:t>1</w:t>
      </w:r>
      <w:r w:rsidR="00201CF3" w:rsidRPr="009E077A">
        <w:rPr>
          <w:rFonts w:ascii="Aptos" w:hAnsi="Aptos" w:cs="Arial"/>
          <w:sz w:val="24"/>
          <w:szCs w:val="24"/>
        </w:rPr>
        <w:t xml:space="preserve"> week after application, suggesting a disruption of natural enemies rather than direct failure of aphid control.</w:t>
      </w:r>
      <w:r w:rsidR="009628C0">
        <w:rPr>
          <w:rFonts w:ascii="Aptos" w:hAnsi="Aptos" w:cs="Arial"/>
          <w:sz w:val="24"/>
          <w:szCs w:val="24"/>
        </w:rPr>
        <w:t xml:space="preserve"> </w:t>
      </w:r>
      <w:r w:rsidR="00201CF3" w:rsidRPr="009628C0">
        <w:rPr>
          <w:rFonts w:ascii="Aptos" w:hAnsi="Aptos" w:cs="Arial"/>
          <w:sz w:val="24"/>
          <w:szCs w:val="24"/>
        </w:rPr>
        <w:t xml:space="preserve">Differences were similar between crops, but Collards had fewer aphid outbreaks. Beleaf </w:t>
      </w:r>
      <w:r w:rsidR="006F05B2">
        <w:rPr>
          <w:rFonts w:ascii="Aptos" w:hAnsi="Aptos" w:cs="Arial"/>
          <w:sz w:val="24"/>
          <w:szCs w:val="24"/>
        </w:rPr>
        <w:t xml:space="preserve">and Exirel </w:t>
      </w:r>
      <w:r w:rsidR="00201CF3" w:rsidRPr="009628C0">
        <w:rPr>
          <w:rFonts w:ascii="Aptos" w:hAnsi="Aptos" w:cs="Arial"/>
          <w:sz w:val="24"/>
          <w:szCs w:val="24"/>
        </w:rPr>
        <w:t>w</w:t>
      </w:r>
      <w:r w:rsidR="006F05B2">
        <w:rPr>
          <w:rFonts w:ascii="Aptos" w:hAnsi="Aptos" w:cs="Arial"/>
          <w:sz w:val="24"/>
          <w:szCs w:val="24"/>
        </w:rPr>
        <w:t>ere</w:t>
      </w:r>
      <w:r w:rsidR="00201CF3" w:rsidRPr="009628C0">
        <w:rPr>
          <w:rFonts w:ascii="Aptos" w:hAnsi="Aptos" w:cs="Arial"/>
          <w:sz w:val="24"/>
          <w:szCs w:val="24"/>
        </w:rPr>
        <w:t xml:space="preserve"> the only treatment</w:t>
      </w:r>
      <w:r w:rsidR="006F05B2">
        <w:rPr>
          <w:rFonts w:ascii="Aptos" w:hAnsi="Aptos" w:cs="Arial"/>
          <w:sz w:val="24"/>
          <w:szCs w:val="24"/>
        </w:rPr>
        <w:t>s</w:t>
      </w:r>
      <w:r w:rsidR="00201CF3" w:rsidRPr="009628C0">
        <w:rPr>
          <w:rFonts w:ascii="Aptos" w:hAnsi="Aptos" w:cs="Arial"/>
          <w:sz w:val="24"/>
          <w:szCs w:val="24"/>
        </w:rPr>
        <w:t xml:space="preserve"> that showcased significant differences in the collards compared to the untreated control. In the squash trial, we saw much higher populations of aphids</w:t>
      </w:r>
      <w:r w:rsidR="006F05B2">
        <w:rPr>
          <w:rFonts w:ascii="Aptos" w:hAnsi="Aptos" w:cs="Arial"/>
          <w:sz w:val="24"/>
          <w:szCs w:val="24"/>
        </w:rPr>
        <w:t>. Warrior II had significantly more aphids than any other treatment and including the untreated control (Figure 1). Numerically, the</w:t>
      </w:r>
      <w:r w:rsidR="00201CF3" w:rsidRPr="009628C0">
        <w:rPr>
          <w:rFonts w:ascii="Aptos" w:hAnsi="Aptos" w:cs="Arial"/>
          <w:sz w:val="24"/>
          <w:szCs w:val="24"/>
        </w:rPr>
        <w:t xml:space="preserve"> best control was achieved </w:t>
      </w:r>
      <w:r w:rsidR="00C31154" w:rsidRPr="00C31154">
        <w:rPr>
          <w:rFonts w:ascii="Aptos" w:hAnsi="Aptos" w:cs="Arial"/>
          <w:sz w:val="24"/>
          <w:szCs w:val="24"/>
        </w:rPr>
        <w:t>with Beleaf, which maintained the lowest aphid densities (p &lt; 0.05), followed by Fulfill and Exirel</w:t>
      </w:r>
      <w:r w:rsidR="006F05B2">
        <w:rPr>
          <w:rFonts w:ascii="Aptos" w:hAnsi="Aptos" w:cs="Arial"/>
          <w:sz w:val="24"/>
          <w:szCs w:val="24"/>
        </w:rPr>
        <w:t xml:space="preserve"> (Figure 1).</w:t>
      </w:r>
      <w:r w:rsidR="00C31154">
        <w:rPr>
          <w:rFonts w:ascii="Aptos" w:hAnsi="Aptos" w:cs="Arial"/>
          <w:sz w:val="24"/>
          <w:szCs w:val="24"/>
        </w:rPr>
        <w:t xml:space="preserve"> </w:t>
      </w:r>
    </w:p>
    <w:p w14:paraId="3F2CE66A" w14:textId="29A34404" w:rsidR="00CB1B0B" w:rsidRPr="009E077A" w:rsidRDefault="00CB1B0B" w:rsidP="00CB1B0B">
      <w:pPr>
        <w:spacing w:before="240" w:after="240" w:line="240" w:lineRule="auto"/>
        <w:rPr>
          <w:rFonts w:ascii="Aptos" w:hAnsi="Aptos" w:cs="Arial"/>
          <w:b/>
          <w:bCs/>
          <w:sz w:val="24"/>
          <w:szCs w:val="24"/>
        </w:rPr>
      </w:pPr>
      <w:r w:rsidRPr="009E077A">
        <w:rPr>
          <w:rFonts w:ascii="Aptos" w:hAnsi="Aptos" w:cs="Arial"/>
          <w:b/>
          <w:bCs/>
          <w:sz w:val="24"/>
          <w:szCs w:val="24"/>
        </w:rPr>
        <w:t xml:space="preserve">Natural Enemy </w:t>
      </w:r>
      <w:r>
        <w:rPr>
          <w:rFonts w:ascii="Aptos" w:hAnsi="Aptos" w:cs="Arial"/>
          <w:b/>
          <w:bCs/>
          <w:sz w:val="24"/>
          <w:szCs w:val="24"/>
        </w:rPr>
        <w:t>Predation</w:t>
      </w:r>
      <w:r>
        <w:rPr>
          <w:rFonts w:ascii="Aptos" w:hAnsi="Aptos" w:cs="Arial"/>
          <w:b/>
          <w:bCs/>
          <w:sz w:val="24"/>
          <w:szCs w:val="24"/>
        </w:rPr>
        <w:t xml:space="preserve"> in </w:t>
      </w:r>
      <w:r>
        <w:rPr>
          <w:rFonts w:ascii="Aptos" w:hAnsi="Aptos" w:cs="Arial"/>
          <w:b/>
          <w:bCs/>
          <w:sz w:val="24"/>
          <w:szCs w:val="24"/>
        </w:rPr>
        <w:t>Lab</w:t>
      </w:r>
    </w:p>
    <w:p w14:paraId="0CA25B78" w14:textId="2403EA66" w:rsidR="006F05B2" w:rsidRDefault="006F05B2" w:rsidP="006F05B2">
      <w:pPr>
        <w:spacing w:before="240" w:after="240" w:line="240" w:lineRule="auto"/>
        <w:rPr>
          <w:rFonts w:ascii="Aptos" w:hAnsi="Aptos" w:cs="Arial"/>
          <w:sz w:val="24"/>
          <w:szCs w:val="24"/>
        </w:rPr>
      </w:pPr>
      <w:bookmarkStart w:id="2" w:name="OLE_LINK1"/>
      <w:r w:rsidRPr="006F05B2">
        <w:rPr>
          <w:rFonts w:ascii="Aptos" w:hAnsi="Aptos" w:cs="Arial"/>
          <w:sz w:val="24"/>
          <w:szCs w:val="24"/>
        </w:rPr>
        <w:t xml:space="preserve">Insecticide impacts on natural enemy performance largely followed expectations (Figure 2). Aphid predation was lowest when predators were exposed to Warrior II residues, indicating negative </w:t>
      </w:r>
      <w:r>
        <w:rPr>
          <w:rFonts w:ascii="Aptos" w:hAnsi="Aptos" w:cs="Arial"/>
          <w:sz w:val="24"/>
          <w:szCs w:val="24"/>
        </w:rPr>
        <w:t xml:space="preserve">sublethal </w:t>
      </w:r>
      <w:r w:rsidRPr="006F05B2">
        <w:rPr>
          <w:rFonts w:ascii="Aptos" w:hAnsi="Aptos" w:cs="Arial"/>
          <w:sz w:val="24"/>
          <w:szCs w:val="24"/>
        </w:rPr>
        <w:t>effects on predator feeding. In contrast, Beleaf had little to no impact on predation relative to the untreated control.</w:t>
      </w:r>
      <w:r>
        <w:rPr>
          <w:rFonts w:ascii="Aptos" w:hAnsi="Aptos" w:cs="Arial"/>
          <w:sz w:val="24"/>
          <w:szCs w:val="24"/>
        </w:rPr>
        <w:t xml:space="preserve"> </w:t>
      </w:r>
      <w:r w:rsidRPr="006F05B2">
        <w:rPr>
          <w:rFonts w:ascii="Aptos" w:hAnsi="Aptos" w:cs="Arial"/>
          <w:sz w:val="24"/>
          <w:szCs w:val="24"/>
        </w:rPr>
        <w:t>Both predators exhibited similar response</w:t>
      </w:r>
      <w:r>
        <w:rPr>
          <w:rFonts w:ascii="Aptos" w:hAnsi="Aptos" w:cs="Arial"/>
          <w:sz w:val="24"/>
          <w:szCs w:val="24"/>
        </w:rPr>
        <w:t>s to insecticide treatments</w:t>
      </w:r>
      <w:r w:rsidRPr="006F05B2">
        <w:rPr>
          <w:rFonts w:ascii="Aptos" w:hAnsi="Aptos" w:cs="Arial"/>
          <w:sz w:val="24"/>
          <w:szCs w:val="24"/>
        </w:rPr>
        <w:t xml:space="preserve">; however, </w:t>
      </w:r>
      <w:r>
        <w:rPr>
          <w:rFonts w:ascii="Aptos" w:hAnsi="Aptos" w:cs="Arial"/>
          <w:sz w:val="24"/>
          <w:szCs w:val="24"/>
        </w:rPr>
        <w:t>there were some small differences</w:t>
      </w:r>
      <w:r w:rsidRPr="006F05B2">
        <w:rPr>
          <w:rFonts w:ascii="Aptos" w:hAnsi="Aptos" w:cs="Arial"/>
          <w:sz w:val="24"/>
          <w:szCs w:val="24"/>
        </w:rPr>
        <w:t xml:space="preserve">. Lady beetles and Orius spp. consumed high proportions of aphids in the untreated control, but Orius spp. showed </w:t>
      </w:r>
      <w:r>
        <w:rPr>
          <w:rFonts w:ascii="Aptos" w:hAnsi="Aptos" w:cs="Arial"/>
          <w:sz w:val="24"/>
          <w:szCs w:val="24"/>
        </w:rPr>
        <w:t>a slightly higher</w:t>
      </w:r>
      <w:r w:rsidRPr="006F05B2">
        <w:rPr>
          <w:rFonts w:ascii="Aptos" w:hAnsi="Aptos" w:cs="Arial"/>
          <w:sz w:val="24"/>
          <w:szCs w:val="24"/>
        </w:rPr>
        <w:t xml:space="preserve"> sensitivity to insecticide exposure, particularly to Warrior II and Actara. Lady beetles maintained higher levels of aphid consumption across most treatments. Conversely, </w:t>
      </w:r>
      <w:r w:rsidR="0049362A">
        <w:rPr>
          <w:rFonts w:ascii="Aptos" w:hAnsi="Aptos" w:cs="Arial"/>
          <w:sz w:val="24"/>
          <w:szCs w:val="24"/>
        </w:rPr>
        <w:t>Exirel</w:t>
      </w:r>
      <w:r w:rsidRPr="006F05B2">
        <w:rPr>
          <w:rFonts w:ascii="Aptos" w:hAnsi="Aptos" w:cs="Arial"/>
          <w:sz w:val="24"/>
          <w:szCs w:val="24"/>
        </w:rPr>
        <w:t xml:space="preserve"> had minimal effects on Orius spp. but caused moderate reductions in lady beetle feeding, indicating taxon-specific responses to insecticide residues.</w:t>
      </w:r>
    </w:p>
    <w:p w14:paraId="6618CD55" w14:textId="40B576FB" w:rsidR="009E077A" w:rsidRPr="006F05B2" w:rsidRDefault="009E077A" w:rsidP="006F05B2">
      <w:pPr>
        <w:spacing w:before="240" w:after="240" w:line="240" w:lineRule="auto"/>
        <w:rPr>
          <w:rFonts w:ascii="Aptos" w:hAnsi="Aptos" w:cs="Arial"/>
          <w:sz w:val="24"/>
          <w:szCs w:val="24"/>
        </w:rPr>
      </w:pPr>
      <w:r w:rsidRPr="009E077A">
        <w:rPr>
          <w:rFonts w:ascii="Aptos" w:hAnsi="Aptos" w:cs="Arial"/>
          <w:b/>
          <w:bCs/>
          <w:sz w:val="24"/>
          <w:szCs w:val="24"/>
        </w:rPr>
        <w:t>Natural Enemy Populations</w:t>
      </w:r>
      <w:r w:rsidR="006407E5">
        <w:rPr>
          <w:rFonts w:ascii="Aptos" w:hAnsi="Aptos" w:cs="Arial"/>
          <w:b/>
          <w:bCs/>
          <w:sz w:val="24"/>
          <w:szCs w:val="24"/>
        </w:rPr>
        <w:t xml:space="preserve"> in Field</w:t>
      </w:r>
    </w:p>
    <w:bookmarkEnd w:id="2"/>
    <w:p w14:paraId="608A30E9" w14:textId="730844CE" w:rsidR="009E077A" w:rsidRPr="009E077A" w:rsidRDefault="0049362A" w:rsidP="009E077A">
      <w:pPr>
        <w:spacing w:before="240" w:after="240" w:line="240" w:lineRule="auto"/>
        <w:rPr>
          <w:rFonts w:ascii="Aptos" w:hAnsi="Aptos" w:cs="Arial"/>
          <w:sz w:val="24"/>
          <w:szCs w:val="24"/>
        </w:rPr>
      </w:pPr>
      <w:r w:rsidRPr="0049362A">
        <w:rPr>
          <w:rFonts w:ascii="Aptos" w:hAnsi="Aptos" w:cs="Arial"/>
          <w:sz w:val="24"/>
          <w:szCs w:val="24"/>
        </w:rPr>
        <w:t>Lady beetles and Orius spp. were the dominant aphid predators observed in the field, accounting for approximately 90% of all natural enemies recorded.</w:t>
      </w:r>
      <w:r>
        <w:rPr>
          <w:rFonts w:ascii="Aptos" w:hAnsi="Aptos" w:cs="Arial"/>
          <w:sz w:val="24"/>
          <w:szCs w:val="24"/>
        </w:rPr>
        <w:t xml:space="preserve"> However, p</w:t>
      </w:r>
      <w:r w:rsidRPr="00C31154">
        <w:rPr>
          <w:rFonts w:ascii="Aptos" w:hAnsi="Aptos" w:cs="Arial"/>
          <w:sz w:val="24"/>
          <w:szCs w:val="24"/>
        </w:rPr>
        <w:t>arasiti</w:t>
      </w:r>
      <w:r>
        <w:rPr>
          <w:rFonts w:ascii="Aptos" w:hAnsi="Aptos" w:cs="Arial"/>
          <w:sz w:val="24"/>
          <w:szCs w:val="24"/>
        </w:rPr>
        <w:t xml:space="preserve">zed mummies were numerous across </w:t>
      </w:r>
      <w:r w:rsidRPr="00C31154">
        <w:rPr>
          <w:rFonts w:ascii="Aptos" w:hAnsi="Aptos" w:cs="Arial"/>
          <w:sz w:val="24"/>
          <w:szCs w:val="24"/>
        </w:rPr>
        <w:t>all treatments and crops</w:t>
      </w:r>
      <w:r>
        <w:rPr>
          <w:rFonts w:ascii="Aptos" w:hAnsi="Aptos" w:cs="Arial"/>
          <w:sz w:val="24"/>
          <w:szCs w:val="24"/>
        </w:rPr>
        <w:t>, although parasitoids were rarely observed</w:t>
      </w:r>
      <w:r w:rsidRPr="00C31154">
        <w:rPr>
          <w:rFonts w:ascii="Aptos" w:hAnsi="Aptos" w:cs="Arial"/>
          <w:sz w:val="24"/>
          <w:szCs w:val="24"/>
        </w:rPr>
        <w:t>.</w:t>
      </w:r>
      <w:r>
        <w:rPr>
          <w:rFonts w:ascii="Aptos" w:hAnsi="Aptos" w:cs="Arial"/>
          <w:sz w:val="24"/>
          <w:szCs w:val="24"/>
        </w:rPr>
        <w:t xml:space="preserve"> </w:t>
      </w:r>
      <w:r w:rsidR="00C31154" w:rsidRPr="00C31154">
        <w:rPr>
          <w:rFonts w:ascii="Aptos" w:hAnsi="Aptos" w:cs="Arial"/>
          <w:sz w:val="24"/>
          <w:szCs w:val="24"/>
        </w:rPr>
        <w:t>Natural enemy populations generally tracked aphid densities (Fig</w:t>
      </w:r>
      <w:r w:rsidR="00CB1B0B">
        <w:rPr>
          <w:rFonts w:ascii="Aptos" w:hAnsi="Aptos" w:cs="Arial"/>
          <w:sz w:val="24"/>
          <w:szCs w:val="24"/>
        </w:rPr>
        <w:t>ure</w:t>
      </w:r>
      <w:r w:rsidR="00C31154" w:rsidRPr="00C31154">
        <w:rPr>
          <w:rFonts w:ascii="Aptos" w:hAnsi="Aptos" w:cs="Arial"/>
          <w:sz w:val="24"/>
          <w:szCs w:val="24"/>
        </w:rPr>
        <w:t xml:space="preserve"> 3). </w:t>
      </w:r>
      <w:r w:rsidRPr="0049362A">
        <w:rPr>
          <w:rFonts w:ascii="Aptos" w:hAnsi="Aptos" w:cs="Arial"/>
          <w:sz w:val="24"/>
          <w:szCs w:val="24"/>
        </w:rPr>
        <w:t xml:space="preserve">No significant differences in natural enemy abundance were detected among treatments in collards. In contrast, squash plots treated with Warrior II had significantly higher natural </w:t>
      </w:r>
      <w:r w:rsidRPr="0049362A">
        <w:rPr>
          <w:rFonts w:ascii="Aptos" w:hAnsi="Aptos" w:cs="Arial"/>
          <w:sz w:val="24"/>
          <w:szCs w:val="24"/>
        </w:rPr>
        <w:lastRenderedPageBreak/>
        <w:t>enemy counts, again likely driven by elevated aphid densities rather than enhanced predator conservation.</w:t>
      </w:r>
      <w:r>
        <w:rPr>
          <w:rFonts w:ascii="Aptos" w:hAnsi="Aptos" w:cs="Arial"/>
          <w:sz w:val="24"/>
          <w:szCs w:val="24"/>
        </w:rPr>
        <w:t xml:space="preserve"> </w:t>
      </w:r>
    </w:p>
    <w:p w14:paraId="09DB8F96" w14:textId="77777777" w:rsidR="009E077A" w:rsidRPr="009E077A" w:rsidRDefault="009E077A" w:rsidP="009E077A">
      <w:pPr>
        <w:spacing w:before="240" w:after="240" w:line="240" w:lineRule="auto"/>
        <w:rPr>
          <w:rFonts w:ascii="Aptos" w:hAnsi="Aptos" w:cs="Arial"/>
          <w:b/>
          <w:bCs/>
          <w:sz w:val="24"/>
          <w:szCs w:val="24"/>
        </w:rPr>
      </w:pPr>
      <w:r w:rsidRPr="009E077A">
        <w:rPr>
          <w:rFonts w:ascii="Aptos" w:hAnsi="Aptos" w:cs="Arial"/>
          <w:b/>
          <w:bCs/>
          <w:sz w:val="24"/>
          <w:szCs w:val="24"/>
        </w:rPr>
        <w:t>Recommendations from 2025 Findings</w:t>
      </w:r>
    </w:p>
    <w:p w14:paraId="679A3A36" w14:textId="67B81207" w:rsidR="00C31154" w:rsidRPr="00C31154" w:rsidRDefault="00C31154" w:rsidP="00C31154">
      <w:pPr>
        <w:pStyle w:val="ListParagraph"/>
        <w:numPr>
          <w:ilvl w:val="0"/>
          <w:numId w:val="12"/>
        </w:numPr>
        <w:spacing w:before="240" w:after="240" w:line="240" w:lineRule="auto"/>
        <w:rPr>
          <w:rFonts w:ascii="Aptos" w:hAnsi="Aptos" w:cs="Arial"/>
          <w:sz w:val="24"/>
          <w:szCs w:val="24"/>
        </w:rPr>
      </w:pPr>
      <w:r w:rsidRPr="00C31154">
        <w:rPr>
          <w:rFonts w:ascii="Aptos" w:hAnsi="Aptos" w:cs="Arial"/>
          <w:sz w:val="24"/>
          <w:szCs w:val="24"/>
        </w:rPr>
        <w:t>Beleaf was the most reliable insecticide for aphid control across both collard greens and cucurbits.</w:t>
      </w:r>
    </w:p>
    <w:p w14:paraId="0DAD9486" w14:textId="7736AEC8" w:rsidR="00C31154" w:rsidRPr="00C31154" w:rsidRDefault="00C31154" w:rsidP="00C31154">
      <w:pPr>
        <w:pStyle w:val="ListParagraph"/>
        <w:numPr>
          <w:ilvl w:val="0"/>
          <w:numId w:val="12"/>
        </w:numPr>
        <w:spacing w:before="240" w:after="240" w:line="240" w:lineRule="auto"/>
        <w:rPr>
          <w:rFonts w:ascii="Aptos" w:hAnsi="Aptos" w:cs="Arial"/>
          <w:sz w:val="24"/>
          <w:szCs w:val="24"/>
        </w:rPr>
      </w:pPr>
      <w:r w:rsidRPr="00C31154">
        <w:rPr>
          <w:rFonts w:ascii="Aptos" w:hAnsi="Aptos" w:cs="Arial"/>
          <w:sz w:val="24"/>
          <w:szCs w:val="24"/>
        </w:rPr>
        <w:t xml:space="preserve">Exirel and Actara may be incorporated into rotations for resistance </w:t>
      </w:r>
      <w:r>
        <w:rPr>
          <w:rFonts w:ascii="Aptos" w:hAnsi="Aptos" w:cs="Arial"/>
          <w:sz w:val="24"/>
          <w:szCs w:val="24"/>
        </w:rPr>
        <w:t>m</w:t>
      </w:r>
      <w:r w:rsidRPr="00C31154">
        <w:rPr>
          <w:rFonts w:ascii="Aptos" w:hAnsi="Aptos" w:cs="Arial"/>
          <w:sz w:val="24"/>
          <w:szCs w:val="24"/>
        </w:rPr>
        <w:t>anagement, though efficacy was moderate</w:t>
      </w:r>
      <w:r w:rsidR="00CB1B0B">
        <w:rPr>
          <w:rFonts w:ascii="Aptos" w:hAnsi="Aptos" w:cs="Arial"/>
          <w:sz w:val="24"/>
          <w:szCs w:val="24"/>
        </w:rPr>
        <w:t xml:space="preserve"> compared to other treatments in the trial</w:t>
      </w:r>
      <w:r w:rsidRPr="00C31154">
        <w:rPr>
          <w:rFonts w:ascii="Aptos" w:hAnsi="Aptos" w:cs="Arial"/>
          <w:sz w:val="24"/>
          <w:szCs w:val="24"/>
        </w:rPr>
        <w:t>.</w:t>
      </w:r>
      <w:r w:rsidR="0049362A">
        <w:rPr>
          <w:rFonts w:ascii="Aptos" w:hAnsi="Aptos" w:cs="Arial"/>
          <w:sz w:val="24"/>
          <w:szCs w:val="24"/>
        </w:rPr>
        <w:t xml:space="preserve"> However, both of these chemistries are broader in spectrum and may control other late-season target pests in the collard and zucchini systems.</w:t>
      </w:r>
    </w:p>
    <w:p w14:paraId="26B6A3FC" w14:textId="4B7777FA" w:rsidR="00C31154" w:rsidRPr="00C31154" w:rsidRDefault="00C31154" w:rsidP="00C31154">
      <w:pPr>
        <w:pStyle w:val="ListParagraph"/>
        <w:numPr>
          <w:ilvl w:val="0"/>
          <w:numId w:val="12"/>
        </w:numPr>
        <w:spacing w:before="240" w:after="240" w:line="240" w:lineRule="auto"/>
        <w:rPr>
          <w:rFonts w:ascii="Aptos" w:hAnsi="Aptos" w:cs="Arial"/>
          <w:sz w:val="24"/>
          <w:szCs w:val="24"/>
        </w:rPr>
      </w:pPr>
      <w:r w:rsidRPr="00C31154">
        <w:rPr>
          <w:rFonts w:ascii="Aptos" w:hAnsi="Aptos" w:cs="Arial"/>
          <w:sz w:val="24"/>
          <w:szCs w:val="24"/>
        </w:rPr>
        <w:t>To conserve beneficial insects, alternate selective and broad-spectrum compounds and avoid blanket late-season applications</w:t>
      </w:r>
      <w:r w:rsidR="0049362A">
        <w:rPr>
          <w:rFonts w:ascii="Aptos" w:hAnsi="Aptos" w:cs="Arial"/>
          <w:sz w:val="24"/>
          <w:szCs w:val="24"/>
        </w:rPr>
        <w:t xml:space="preserve">, </w:t>
      </w:r>
      <w:r w:rsidR="0049362A" w:rsidRPr="0049362A">
        <w:rPr>
          <w:rFonts w:ascii="Aptos" w:hAnsi="Aptos" w:cs="Arial"/>
          <w:sz w:val="24"/>
          <w:szCs w:val="24"/>
        </w:rPr>
        <w:t>particularly when aphid populations are low.</w:t>
      </w:r>
    </w:p>
    <w:p w14:paraId="682B6BAD" w14:textId="3F1B9CBA" w:rsidR="001D7914" w:rsidRPr="001D7914" w:rsidRDefault="001D7914" w:rsidP="001D7914">
      <w:pPr>
        <w:rPr>
          <w:rFonts w:ascii="Aptos" w:hAnsi="Aptos" w:cs="Arial"/>
          <w:sz w:val="24"/>
          <w:szCs w:val="24"/>
        </w:rPr>
      </w:pPr>
      <w:r>
        <w:rPr>
          <w:rFonts w:ascii="Aptos" w:hAnsi="Aptos" w:cs="Arial"/>
          <w:sz w:val="24"/>
          <w:szCs w:val="24"/>
        </w:rPr>
        <w:br w:type="page"/>
      </w:r>
    </w:p>
    <w:p w14:paraId="4179A69C" w14:textId="77777777" w:rsidR="009E077A" w:rsidRDefault="009E077A" w:rsidP="009E077A">
      <w:pPr>
        <w:spacing w:before="240" w:after="240" w:line="240" w:lineRule="auto"/>
        <w:rPr>
          <w:rFonts w:ascii="Aptos" w:hAnsi="Aptos" w:cs="Arial"/>
          <w:b/>
          <w:bCs/>
          <w:sz w:val="24"/>
          <w:szCs w:val="24"/>
        </w:rPr>
      </w:pPr>
      <w:r w:rsidRPr="009E077A">
        <w:rPr>
          <w:rFonts w:ascii="Aptos" w:hAnsi="Aptos" w:cs="Arial"/>
          <w:b/>
          <w:bCs/>
          <w:sz w:val="24"/>
          <w:szCs w:val="24"/>
        </w:rPr>
        <w:lastRenderedPageBreak/>
        <w:t>Figures</w:t>
      </w:r>
    </w:p>
    <w:p w14:paraId="7D0374F8" w14:textId="0D7E7171" w:rsidR="006407E5" w:rsidRDefault="006407E5" w:rsidP="009E077A">
      <w:pPr>
        <w:spacing w:before="240" w:after="240" w:line="240" w:lineRule="auto"/>
        <w:rPr>
          <w:rFonts w:ascii="Aptos" w:hAnsi="Aptos" w:cs="Arial"/>
          <w:b/>
          <w:bCs/>
          <w:sz w:val="24"/>
          <w:szCs w:val="24"/>
        </w:rPr>
      </w:pPr>
      <w:r w:rsidRPr="006407E5">
        <w:rPr>
          <w:rFonts w:ascii="Aptos" w:hAnsi="Aptos" w:cs="Arial"/>
          <w:b/>
          <w:bCs/>
          <w:noProof/>
          <w:sz w:val="24"/>
          <w:szCs w:val="24"/>
        </w:rPr>
        <w:drawing>
          <wp:inline distT="0" distB="0" distL="0" distR="0" wp14:anchorId="248F74A9" wp14:editId="6597A4CF">
            <wp:extent cx="5943600" cy="4889500"/>
            <wp:effectExtent l="0" t="0" r="0" b="0"/>
            <wp:docPr id="1846800121" name="Picture 2" descr="A graph of different types of ins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00121" name="Picture 2" descr="A graph of different types of insect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889500"/>
                    </a:xfrm>
                    <a:prstGeom prst="rect">
                      <a:avLst/>
                    </a:prstGeom>
                    <a:noFill/>
                    <a:ln>
                      <a:noFill/>
                    </a:ln>
                  </pic:spPr>
                </pic:pic>
              </a:graphicData>
            </a:graphic>
          </wp:inline>
        </w:drawing>
      </w:r>
    </w:p>
    <w:p w14:paraId="5102D091" w14:textId="0C5EB327" w:rsidR="001D7914" w:rsidRPr="00572EEC" w:rsidRDefault="009E077A" w:rsidP="001D7914">
      <w:pPr>
        <w:spacing w:before="240" w:after="240" w:line="240" w:lineRule="auto"/>
        <w:rPr>
          <w:rFonts w:ascii="Aptos" w:hAnsi="Aptos" w:cs="Arial"/>
          <w:sz w:val="24"/>
          <w:szCs w:val="24"/>
        </w:rPr>
      </w:pPr>
      <w:r w:rsidRPr="00572EEC">
        <w:rPr>
          <w:rFonts w:ascii="Aptos" w:hAnsi="Aptos" w:cs="Arial"/>
          <w:b/>
          <w:bCs/>
          <w:sz w:val="24"/>
          <w:szCs w:val="24"/>
        </w:rPr>
        <w:t xml:space="preserve">Figure 1. </w:t>
      </w:r>
      <w:r w:rsidR="00533B0C" w:rsidRPr="00572EEC">
        <w:rPr>
          <w:rFonts w:ascii="Aptos" w:hAnsi="Aptos" w:cs="Arial"/>
          <w:sz w:val="24"/>
          <w:szCs w:val="24"/>
        </w:rPr>
        <w:t>Insecticide trial results for aphid control and natural enemy abundance in collard greens and zucchini. Aphid densities (top left) and natural enemy abundance (top right) per insecticide treatment in collards (Aphid ANOVA: F</w:t>
      </w:r>
      <w:r w:rsidR="00572EEC">
        <w:rPr>
          <w:rFonts w:ascii="Cambria Math" w:hAnsi="Cambria Math" w:cs="Cambria Math"/>
          <w:sz w:val="24"/>
          <w:szCs w:val="24"/>
        </w:rPr>
        <w:t xml:space="preserve"> [</w:t>
      </w:r>
      <w:r w:rsidR="00533B0C" w:rsidRPr="00572EEC">
        <w:rPr>
          <w:rFonts w:ascii="Aptos" w:hAnsi="Aptos" w:cs="Arial"/>
          <w:sz w:val="24"/>
          <w:szCs w:val="24"/>
        </w:rPr>
        <w:t>5,18</w:t>
      </w:r>
      <w:r w:rsidR="00572EEC">
        <w:rPr>
          <w:rFonts w:ascii="Aptos" w:hAnsi="Aptos" w:cs="Arial"/>
          <w:sz w:val="24"/>
          <w:szCs w:val="24"/>
        </w:rPr>
        <w:t>]</w:t>
      </w:r>
      <w:r w:rsidR="00533B0C" w:rsidRPr="00572EEC">
        <w:rPr>
          <w:rFonts w:ascii="Aptos" w:hAnsi="Aptos" w:cs="Arial"/>
          <w:sz w:val="24"/>
          <w:szCs w:val="24"/>
        </w:rPr>
        <w:t xml:space="preserve"> = 3.416, P = 0.0241; Natural Enemy ANOVA: F</w:t>
      </w:r>
      <w:r w:rsidR="00572EEC">
        <w:rPr>
          <w:rFonts w:ascii="Cambria Math" w:hAnsi="Cambria Math" w:cs="Cambria Math"/>
          <w:sz w:val="24"/>
          <w:szCs w:val="24"/>
        </w:rPr>
        <w:t xml:space="preserve"> [</w:t>
      </w:r>
      <w:r w:rsidR="00533B0C" w:rsidRPr="00572EEC">
        <w:rPr>
          <w:rFonts w:ascii="Aptos" w:hAnsi="Aptos" w:cs="Arial"/>
          <w:sz w:val="24"/>
          <w:szCs w:val="24"/>
        </w:rPr>
        <w:t>5,18</w:t>
      </w:r>
      <w:r w:rsidR="00572EEC">
        <w:rPr>
          <w:rFonts w:ascii="Aptos" w:hAnsi="Aptos" w:cs="Arial"/>
          <w:sz w:val="24"/>
          <w:szCs w:val="24"/>
        </w:rPr>
        <w:t>]</w:t>
      </w:r>
      <w:r w:rsidR="00533B0C" w:rsidRPr="00572EEC">
        <w:rPr>
          <w:rFonts w:ascii="Aptos" w:hAnsi="Aptos" w:cs="Arial"/>
          <w:sz w:val="24"/>
          <w:szCs w:val="24"/>
        </w:rPr>
        <w:t xml:space="preserve"> = 1.430, P = 0.2611). Preliminary results of aphid densities (bottom left) and natural enemy abundance (bottom right) per insecticide treatment in squash (Aphid ANOVA: F</w:t>
      </w:r>
      <w:r w:rsidR="00572EEC">
        <w:rPr>
          <w:rFonts w:ascii="Aptos" w:hAnsi="Aptos" w:cs="Arial"/>
          <w:sz w:val="24"/>
          <w:szCs w:val="24"/>
        </w:rPr>
        <w:t xml:space="preserve"> [</w:t>
      </w:r>
      <w:r w:rsidR="00533B0C" w:rsidRPr="00572EEC">
        <w:rPr>
          <w:rFonts w:ascii="Aptos" w:hAnsi="Aptos" w:cs="Arial"/>
          <w:sz w:val="24"/>
          <w:szCs w:val="24"/>
        </w:rPr>
        <w:t>5,18</w:t>
      </w:r>
      <w:r w:rsidR="00572EEC">
        <w:rPr>
          <w:rFonts w:ascii="Aptos" w:hAnsi="Aptos" w:cs="Arial"/>
          <w:sz w:val="24"/>
          <w:szCs w:val="24"/>
        </w:rPr>
        <w:t>]</w:t>
      </w:r>
      <w:r w:rsidR="00533B0C" w:rsidRPr="00572EEC">
        <w:rPr>
          <w:rFonts w:ascii="Aptos" w:hAnsi="Aptos" w:cs="Arial"/>
          <w:sz w:val="24"/>
          <w:szCs w:val="24"/>
        </w:rPr>
        <w:t xml:space="preserve"> = 7.07, P = 0.0008; Natural Enemy ANOVA: F</w:t>
      </w:r>
      <w:r w:rsidR="00572EEC">
        <w:rPr>
          <w:rFonts w:ascii="Cambria Math" w:hAnsi="Cambria Math" w:cs="Cambria Math"/>
          <w:sz w:val="24"/>
          <w:szCs w:val="24"/>
        </w:rPr>
        <w:t xml:space="preserve"> [</w:t>
      </w:r>
      <w:r w:rsidR="00533B0C" w:rsidRPr="00572EEC">
        <w:rPr>
          <w:rFonts w:ascii="Aptos" w:hAnsi="Aptos" w:cs="Arial"/>
          <w:sz w:val="24"/>
          <w:szCs w:val="24"/>
        </w:rPr>
        <w:t>5,18</w:t>
      </w:r>
      <w:r w:rsidR="00572EEC">
        <w:rPr>
          <w:rFonts w:ascii="Aptos" w:hAnsi="Aptos" w:cs="Arial"/>
          <w:sz w:val="24"/>
          <w:szCs w:val="24"/>
        </w:rPr>
        <w:t>]</w:t>
      </w:r>
      <w:r w:rsidR="00533B0C" w:rsidRPr="00572EEC">
        <w:rPr>
          <w:rFonts w:ascii="Aptos" w:hAnsi="Aptos" w:cs="Arial"/>
          <w:sz w:val="24"/>
          <w:szCs w:val="24"/>
        </w:rPr>
        <w:t xml:space="preserve"> = 10.74, P &lt; 0.0001).</w:t>
      </w:r>
    </w:p>
    <w:p w14:paraId="2A7E7974" w14:textId="77777777" w:rsidR="006407E5" w:rsidRDefault="006407E5" w:rsidP="001D7914">
      <w:pPr>
        <w:spacing w:before="240" w:after="240" w:line="240" w:lineRule="auto"/>
        <w:rPr>
          <w:rFonts w:ascii="Aptos" w:hAnsi="Aptos" w:cs="Arial"/>
          <w:sz w:val="24"/>
          <w:szCs w:val="24"/>
        </w:rPr>
      </w:pPr>
    </w:p>
    <w:p w14:paraId="7352F8B8" w14:textId="77777777" w:rsidR="006407E5" w:rsidRDefault="006407E5" w:rsidP="001D7914">
      <w:pPr>
        <w:spacing w:before="240" w:after="240" w:line="240" w:lineRule="auto"/>
        <w:rPr>
          <w:rFonts w:ascii="Aptos" w:hAnsi="Aptos" w:cs="Arial"/>
          <w:sz w:val="24"/>
          <w:szCs w:val="24"/>
        </w:rPr>
      </w:pPr>
    </w:p>
    <w:p w14:paraId="50D2A006" w14:textId="77777777" w:rsidR="006407E5" w:rsidRDefault="006407E5" w:rsidP="001D7914">
      <w:pPr>
        <w:spacing w:before="240" w:after="240" w:line="240" w:lineRule="auto"/>
        <w:rPr>
          <w:rFonts w:ascii="Aptos" w:hAnsi="Aptos" w:cs="Arial"/>
          <w:sz w:val="24"/>
          <w:szCs w:val="24"/>
        </w:rPr>
      </w:pPr>
    </w:p>
    <w:p w14:paraId="500BC5FA" w14:textId="77777777" w:rsidR="006407E5" w:rsidRDefault="006407E5" w:rsidP="001D7914">
      <w:pPr>
        <w:spacing w:before="240" w:after="240" w:line="240" w:lineRule="auto"/>
        <w:rPr>
          <w:rFonts w:ascii="Aptos" w:hAnsi="Aptos" w:cs="Arial"/>
          <w:sz w:val="24"/>
          <w:szCs w:val="24"/>
        </w:rPr>
      </w:pPr>
    </w:p>
    <w:p w14:paraId="15BA2BD6" w14:textId="6A0584CE" w:rsidR="009628C0" w:rsidRPr="009E077A" w:rsidRDefault="006407E5" w:rsidP="006407E5">
      <w:pPr>
        <w:spacing w:before="240" w:after="240" w:line="240" w:lineRule="auto"/>
        <w:rPr>
          <w:rFonts w:ascii="Aptos" w:hAnsi="Aptos" w:cs="Arial"/>
          <w:b/>
          <w:bCs/>
          <w:sz w:val="24"/>
          <w:szCs w:val="24"/>
        </w:rPr>
      </w:pPr>
      <w:r>
        <w:rPr>
          <w:noProof/>
        </w:rPr>
        <w:lastRenderedPageBreak/>
        <w:drawing>
          <wp:anchor distT="0" distB="0" distL="114300" distR="114300" simplePos="0" relativeHeight="251659776" behindDoc="0" locked="0" layoutInCell="1" allowOverlap="1" wp14:anchorId="1CA22841" wp14:editId="2903C31C">
            <wp:simplePos x="0" y="0"/>
            <wp:positionH relativeFrom="column">
              <wp:posOffset>-285750</wp:posOffset>
            </wp:positionH>
            <wp:positionV relativeFrom="paragraph">
              <wp:posOffset>-177800</wp:posOffset>
            </wp:positionV>
            <wp:extent cx="6972300" cy="2822575"/>
            <wp:effectExtent l="0" t="0" r="0" b="0"/>
            <wp:wrapSquare wrapText="bothSides"/>
            <wp:docPr id="5" name="Picture 1" descr="A graph of aphids and a b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graph of aphids and a bug&#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994" b="6565"/>
                    <a:stretch>
                      <a:fillRect/>
                    </a:stretch>
                  </pic:blipFill>
                  <pic:spPr bwMode="auto">
                    <a:xfrm>
                      <a:off x="0" y="0"/>
                      <a:ext cx="6972300" cy="2822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407E5">
        <w:rPr>
          <w:rFonts w:ascii="Aptos" w:hAnsi="Aptos" w:cs="Arial"/>
          <w:b/>
          <w:bCs/>
          <w:sz w:val="24"/>
          <w:szCs w:val="24"/>
        </w:rPr>
        <w:t xml:space="preserve">Figure 2. </w:t>
      </w:r>
      <w:r w:rsidRPr="006407E5">
        <w:rPr>
          <w:rFonts w:ascii="Aptos" w:hAnsi="Aptos" w:cs="Arial"/>
          <w:sz w:val="24"/>
          <w:szCs w:val="24"/>
        </w:rPr>
        <w:t xml:space="preserve">Aphid predation by two predators, </w:t>
      </w:r>
      <w:r w:rsidR="00C96BB8">
        <w:rPr>
          <w:rFonts w:ascii="Aptos" w:hAnsi="Aptos" w:cs="Arial"/>
          <w:sz w:val="24"/>
          <w:szCs w:val="24"/>
        </w:rPr>
        <w:t>L</w:t>
      </w:r>
      <w:r w:rsidRPr="006407E5">
        <w:rPr>
          <w:rFonts w:ascii="Aptos" w:hAnsi="Aptos" w:cs="Arial"/>
          <w:sz w:val="24"/>
          <w:szCs w:val="24"/>
        </w:rPr>
        <w:t>adybugs (</w:t>
      </w:r>
      <w:r>
        <w:rPr>
          <w:rFonts w:ascii="Aptos" w:hAnsi="Aptos" w:cs="Arial"/>
          <w:sz w:val="24"/>
          <w:szCs w:val="24"/>
        </w:rPr>
        <w:t>left</w:t>
      </w:r>
      <w:r w:rsidRPr="006407E5">
        <w:rPr>
          <w:rFonts w:ascii="Aptos" w:hAnsi="Aptos" w:cs="Arial"/>
          <w:sz w:val="24"/>
          <w:szCs w:val="24"/>
        </w:rPr>
        <w:t xml:space="preserve">) and </w:t>
      </w:r>
      <w:r w:rsidR="00C96BB8">
        <w:rPr>
          <w:rFonts w:ascii="Aptos" w:hAnsi="Aptos" w:cs="Arial"/>
          <w:sz w:val="24"/>
          <w:szCs w:val="24"/>
        </w:rPr>
        <w:t>Orius spp.</w:t>
      </w:r>
      <w:r w:rsidRPr="006407E5">
        <w:rPr>
          <w:rFonts w:ascii="Aptos" w:hAnsi="Aptos" w:cs="Arial"/>
          <w:sz w:val="24"/>
          <w:szCs w:val="24"/>
        </w:rPr>
        <w:t xml:space="preserve"> (</w:t>
      </w:r>
      <w:r>
        <w:rPr>
          <w:rFonts w:ascii="Aptos" w:hAnsi="Aptos" w:cs="Arial"/>
          <w:sz w:val="24"/>
          <w:szCs w:val="24"/>
        </w:rPr>
        <w:t>right</w:t>
      </w:r>
      <w:r w:rsidRPr="006407E5">
        <w:rPr>
          <w:rFonts w:ascii="Aptos" w:hAnsi="Aptos" w:cs="Arial"/>
          <w:sz w:val="24"/>
          <w:szCs w:val="24"/>
        </w:rPr>
        <w:t xml:space="preserve">) exposed to insecticide leaf residues. </w:t>
      </w:r>
      <w:r w:rsidR="0049362A" w:rsidRPr="0049362A">
        <w:rPr>
          <w:rFonts w:ascii="Aptos" w:hAnsi="Aptos" w:cs="Arial"/>
          <w:sz w:val="24"/>
          <w:szCs w:val="24"/>
        </w:rPr>
        <w:t>Warrior II resulted in the lowest predation for both predators.</w:t>
      </w:r>
      <w:r w:rsidR="009628C0">
        <w:rPr>
          <w:noProof/>
        </w:rPr>
        <w:drawing>
          <wp:inline distT="0" distB="0" distL="0" distR="0" wp14:anchorId="3936539B" wp14:editId="69DCFA61">
            <wp:extent cx="5943600" cy="3865245"/>
            <wp:effectExtent l="0" t="0" r="0" b="0"/>
            <wp:docPr id="318535985" name="Picture 1" descr="A graph of aphids per p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35985" name="Picture 1" descr="A graph of aphids per plo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865245"/>
                    </a:xfrm>
                    <a:prstGeom prst="rect">
                      <a:avLst/>
                    </a:prstGeom>
                    <a:noFill/>
                    <a:ln>
                      <a:noFill/>
                    </a:ln>
                  </pic:spPr>
                </pic:pic>
              </a:graphicData>
            </a:graphic>
          </wp:inline>
        </w:drawing>
      </w:r>
    </w:p>
    <w:p w14:paraId="274D002E" w14:textId="535ADB22" w:rsidR="00DB5AD7" w:rsidRPr="006407E5" w:rsidRDefault="009E077A" w:rsidP="006407E5">
      <w:pPr>
        <w:spacing w:before="240" w:after="240" w:line="240" w:lineRule="auto"/>
        <w:rPr>
          <w:rFonts w:ascii="Aptos" w:hAnsi="Aptos"/>
          <w:sz w:val="24"/>
          <w:szCs w:val="24"/>
        </w:rPr>
      </w:pPr>
      <w:r w:rsidRPr="009E077A">
        <w:rPr>
          <w:rFonts w:ascii="Aptos" w:hAnsi="Aptos" w:cs="Arial"/>
          <w:b/>
          <w:bCs/>
          <w:sz w:val="24"/>
          <w:szCs w:val="24"/>
        </w:rPr>
        <w:t xml:space="preserve">Figure 3. </w:t>
      </w:r>
      <w:r w:rsidR="001D7914">
        <w:rPr>
          <w:rFonts w:ascii="Aptos" w:hAnsi="Aptos" w:cs="Arial"/>
          <w:sz w:val="24"/>
          <w:szCs w:val="24"/>
        </w:rPr>
        <w:t xml:space="preserve">Positive significant relationship between Average aphids per plot and Average natural enemies per plot. </w:t>
      </w:r>
    </w:p>
    <w:p w14:paraId="12B7E741" w14:textId="342F58B8" w:rsidR="00DB5AD7" w:rsidRPr="009628C0" w:rsidRDefault="00DB5AD7" w:rsidP="009852EA">
      <w:pPr>
        <w:pStyle w:val="ListParagraph"/>
        <w:rPr>
          <w:rFonts w:ascii="Aptos" w:hAnsi="Aptos"/>
          <w:sz w:val="24"/>
          <w:szCs w:val="24"/>
        </w:rPr>
      </w:pPr>
    </w:p>
    <w:p w14:paraId="30EB217E" w14:textId="128012E7" w:rsidR="003B495D" w:rsidRPr="009628C0" w:rsidRDefault="003B495D" w:rsidP="003B495D">
      <w:pPr>
        <w:rPr>
          <w:rFonts w:ascii="Aptos" w:hAnsi="Aptos" w:cs="Arial"/>
        </w:rPr>
      </w:pPr>
    </w:p>
    <w:sectPr w:rsidR="003B495D" w:rsidRPr="009628C0" w:rsidSect="003D7671">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ED90" w14:textId="77777777" w:rsidR="00422215" w:rsidRDefault="00422215" w:rsidP="006E75F3">
      <w:pPr>
        <w:spacing w:after="0" w:line="240" w:lineRule="auto"/>
      </w:pPr>
      <w:r>
        <w:separator/>
      </w:r>
    </w:p>
  </w:endnote>
  <w:endnote w:type="continuationSeparator" w:id="0">
    <w:p w14:paraId="413B8574" w14:textId="77777777" w:rsidR="00422215" w:rsidRDefault="00422215" w:rsidP="006E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842A" w14:textId="77777777" w:rsidR="00422215" w:rsidRDefault="00422215" w:rsidP="006E75F3">
      <w:pPr>
        <w:spacing w:after="0" w:line="240" w:lineRule="auto"/>
      </w:pPr>
      <w:r>
        <w:separator/>
      </w:r>
    </w:p>
  </w:footnote>
  <w:footnote w:type="continuationSeparator" w:id="0">
    <w:p w14:paraId="14A370D3" w14:textId="77777777" w:rsidR="00422215" w:rsidRDefault="00422215" w:rsidP="006E7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3DDA" w14:textId="11B3F06F" w:rsidR="006E75F3" w:rsidRPr="006E75F3" w:rsidRDefault="006407E5">
    <w:pPr>
      <w:pStyle w:val="Header"/>
      <w:rPr>
        <w:rFonts w:ascii="Arial" w:hAnsi="Arial" w:cs="Arial"/>
      </w:rPr>
    </w:pPr>
    <w:r>
      <w:rPr>
        <w:rFonts w:ascii="Arial" w:hAnsi="Arial" w:cs="Arial"/>
      </w:rPr>
      <w:t>January</w:t>
    </w:r>
    <w:r w:rsidR="00ED5E09">
      <w:rPr>
        <w:rFonts w:ascii="Arial" w:hAnsi="Arial" w:cs="Arial"/>
      </w:rPr>
      <w:t xml:space="preserve"> 202</w:t>
    </w:r>
    <w:r>
      <w:rPr>
        <w:rFonts w:ascii="Arial" w:hAnsi="Arial" w:cs="Arial"/>
      </w:rPr>
      <w:t>6</w:t>
    </w:r>
    <w:r w:rsidR="00422361">
      <w:rPr>
        <w:rFonts w:ascii="Arial" w:hAnsi="Arial" w:cs="Arial"/>
      </w:rPr>
      <w:t xml:space="preserve"> </w:t>
    </w:r>
    <w:r w:rsidR="00BD61F3">
      <w:rPr>
        <w:rFonts w:ascii="Arial" w:hAnsi="Arial" w:cs="Arial"/>
      </w:rPr>
      <w:t xml:space="preserve"> </w:t>
    </w:r>
    <w:r w:rsidR="00422361">
      <w:rPr>
        <w:rFonts w:ascii="Arial" w:hAnsi="Arial" w:cs="Arial"/>
      </w:rPr>
      <w:tab/>
    </w:r>
    <w:r w:rsidR="00422361">
      <w:rPr>
        <w:rFonts w:ascii="Arial" w:hAnsi="Arial" w:cs="Arial"/>
      </w:rPr>
      <w:tab/>
    </w:r>
    <w:r>
      <w:rPr>
        <w:rFonts w:ascii="Arial" w:hAnsi="Arial" w:cs="Arial"/>
        <w:b/>
        <w:bCs/>
      </w:rPr>
      <w:t>FINAL</w:t>
    </w:r>
    <w:r w:rsidR="00BD61F3" w:rsidRPr="00422361">
      <w:rPr>
        <w:rFonts w:ascii="Arial" w:hAnsi="Arial" w:cs="Arial"/>
        <w:b/>
        <w:bCs/>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3794"/>
    <w:multiLevelType w:val="multilevel"/>
    <w:tmpl w:val="BCF23C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19C84391"/>
    <w:multiLevelType w:val="hybridMultilevel"/>
    <w:tmpl w:val="85BE6D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F10F6"/>
    <w:multiLevelType w:val="multilevel"/>
    <w:tmpl w:val="D0D8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F13E3"/>
    <w:multiLevelType w:val="hybridMultilevel"/>
    <w:tmpl w:val="31EC9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512589"/>
    <w:multiLevelType w:val="hybridMultilevel"/>
    <w:tmpl w:val="43163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896B5A"/>
    <w:multiLevelType w:val="multilevel"/>
    <w:tmpl w:val="37C2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70281"/>
    <w:multiLevelType w:val="hybridMultilevel"/>
    <w:tmpl w:val="3ED61E70"/>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E82699"/>
    <w:multiLevelType w:val="multilevel"/>
    <w:tmpl w:val="EC9A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74626"/>
    <w:multiLevelType w:val="multilevel"/>
    <w:tmpl w:val="B756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39493E"/>
    <w:multiLevelType w:val="multilevel"/>
    <w:tmpl w:val="468E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3C1869"/>
    <w:multiLevelType w:val="hybridMultilevel"/>
    <w:tmpl w:val="7510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325056">
    <w:abstractNumId w:val="10"/>
  </w:num>
  <w:num w:numId="2" w16cid:durableId="491870425">
    <w:abstractNumId w:val="3"/>
  </w:num>
  <w:num w:numId="3" w16cid:durableId="1149399263">
    <w:abstractNumId w:val="3"/>
  </w:num>
  <w:num w:numId="4" w16cid:durableId="501820926">
    <w:abstractNumId w:val="5"/>
  </w:num>
  <w:num w:numId="5" w16cid:durableId="1715689285">
    <w:abstractNumId w:val="6"/>
  </w:num>
  <w:num w:numId="6" w16cid:durableId="2070575006">
    <w:abstractNumId w:val="8"/>
  </w:num>
  <w:num w:numId="7" w16cid:durableId="221210189">
    <w:abstractNumId w:val="0"/>
  </w:num>
  <w:num w:numId="8" w16cid:durableId="46955395">
    <w:abstractNumId w:val="7"/>
  </w:num>
  <w:num w:numId="9" w16cid:durableId="1093282841">
    <w:abstractNumId w:val="2"/>
  </w:num>
  <w:num w:numId="10" w16cid:durableId="1843857731">
    <w:abstractNumId w:val="9"/>
  </w:num>
  <w:num w:numId="11" w16cid:durableId="1973905656">
    <w:abstractNumId w:val="4"/>
  </w:num>
  <w:num w:numId="12" w16cid:durableId="1001349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69A3"/>
    <w:rsid w:val="000026BF"/>
    <w:rsid w:val="00016B38"/>
    <w:rsid w:val="00042FA5"/>
    <w:rsid w:val="000A21FB"/>
    <w:rsid w:val="000A7945"/>
    <w:rsid w:val="000D55BC"/>
    <w:rsid w:val="00124F60"/>
    <w:rsid w:val="00133DBD"/>
    <w:rsid w:val="0014242C"/>
    <w:rsid w:val="00155A74"/>
    <w:rsid w:val="00193FD5"/>
    <w:rsid w:val="001A484E"/>
    <w:rsid w:val="001A560C"/>
    <w:rsid w:val="001D7914"/>
    <w:rsid w:val="002009CD"/>
    <w:rsid w:val="00201CF3"/>
    <w:rsid w:val="0028329C"/>
    <w:rsid w:val="002A2001"/>
    <w:rsid w:val="002C792D"/>
    <w:rsid w:val="002F0446"/>
    <w:rsid w:val="00305AA0"/>
    <w:rsid w:val="003065DB"/>
    <w:rsid w:val="00374390"/>
    <w:rsid w:val="003965E3"/>
    <w:rsid w:val="003B495D"/>
    <w:rsid w:val="003B5ABD"/>
    <w:rsid w:val="003C15FD"/>
    <w:rsid w:val="003C5F39"/>
    <w:rsid w:val="003D7671"/>
    <w:rsid w:val="003E6D58"/>
    <w:rsid w:val="003E6EDD"/>
    <w:rsid w:val="0041315C"/>
    <w:rsid w:val="00422215"/>
    <w:rsid w:val="00422361"/>
    <w:rsid w:val="004243BC"/>
    <w:rsid w:val="00455EBA"/>
    <w:rsid w:val="00463242"/>
    <w:rsid w:val="00465282"/>
    <w:rsid w:val="004839BB"/>
    <w:rsid w:val="00490B91"/>
    <w:rsid w:val="0049362A"/>
    <w:rsid w:val="005069A3"/>
    <w:rsid w:val="00533B0C"/>
    <w:rsid w:val="00556284"/>
    <w:rsid w:val="005716D0"/>
    <w:rsid w:val="00572EEC"/>
    <w:rsid w:val="005A4D48"/>
    <w:rsid w:val="005E02C4"/>
    <w:rsid w:val="005F2440"/>
    <w:rsid w:val="005F3F51"/>
    <w:rsid w:val="00601254"/>
    <w:rsid w:val="00606416"/>
    <w:rsid w:val="0061317D"/>
    <w:rsid w:val="00617280"/>
    <w:rsid w:val="00621E03"/>
    <w:rsid w:val="006407E5"/>
    <w:rsid w:val="00651909"/>
    <w:rsid w:val="006A16F8"/>
    <w:rsid w:val="006B1A0C"/>
    <w:rsid w:val="006B697A"/>
    <w:rsid w:val="006E75F3"/>
    <w:rsid w:val="006F05B2"/>
    <w:rsid w:val="006F07BB"/>
    <w:rsid w:val="006F6F1D"/>
    <w:rsid w:val="00711FD8"/>
    <w:rsid w:val="00713488"/>
    <w:rsid w:val="00716C3A"/>
    <w:rsid w:val="007200BA"/>
    <w:rsid w:val="00721923"/>
    <w:rsid w:val="0072202E"/>
    <w:rsid w:val="007678C1"/>
    <w:rsid w:val="007817D3"/>
    <w:rsid w:val="00786D29"/>
    <w:rsid w:val="007F0A0A"/>
    <w:rsid w:val="007F3556"/>
    <w:rsid w:val="008244C8"/>
    <w:rsid w:val="0082691A"/>
    <w:rsid w:val="00840A43"/>
    <w:rsid w:val="0087253D"/>
    <w:rsid w:val="008900FF"/>
    <w:rsid w:val="008B52BF"/>
    <w:rsid w:val="008C2A23"/>
    <w:rsid w:val="008F09B4"/>
    <w:rsid w:val="008F230F"/>
    <w:rsid w:val="00940666"/>
    <w:rsid w:val="00944E9B"/>
    <w:rsid w:val="00945C55"/>
    <w:rsid w:val="009628C0"/>
    <w:rsid w:val="009852EA"/>
    <w:rsid w:val="009C4305"/>
    <w:rsid w:val="009E077A"/>
    <w:rsid w:val="00A210C6"/>
    <w:rsid w:val="00A94E09"/>
    <w:rsid w:val="00AD3E94"/>
    <w:rsid w:val="00B0655B"/>
    <w:rsid w:val="00B13238"/>
    <w:rsid w:val="00B2114C"/>
    <w:rsid w:val="00B374A3"/>
    <w:rsid w:val="00B40624"/>
    <w:rsid w:val="00B4167C"/>
    <w:rsid w:val="00B50666"/>
    <w:rsid w:val="00B55DCB"/>
    <w:rsid w:val="00B63984"/>
    <w:rsid w:val="00B82C09"/>
    <w:rsid w:val="00B91947"/>
    <w:rsid w:val="00B934D7"/>
    <w:rsid w:val="00BD61F3"/>
    <w:rsid w:val="00BF6B69"/>
    <w:rsid w:val="00C23504"/>
    <w:rsid w:val="00C31154"/>
    <w:rsid w:val="00C53481"/>
    <w:rsid w:val="00C96BB8"/>
    <w:rsid w:val="00CB1B0B"/>
    <w:rsid w:val="00CB5ADC"/>
    <w:rsid w:val="00CE149B"/>
    <w:rsid w:val="00CF0EB5"/>
    <w:rsid w:val="00CF6D2E"/>
    <w:rsid w:val="00D1069C"/>
    <w:rsid w:val="00D124B7"/>
    <w:rsid w:val="00D54B1D"/>
    <w:rsid w:val="00D70C2F"/>
    <w:rsid w:val="00DB5AD7"/>
    <w:rsid w:val="00DD5A12"/>
    <w:rsid w:val="00DE4400"/>
    <w:rsid w:val="00E27B5E"/>
    <w:rsid w:val="00E91AE6"/>
    <w:rsid w:val="00ED5E09"/>
    <w:rsid w:val="00ED7190"/>
    <w:rsid w:val="00F43C85"/>
    <w:rsid w:val="00F538A7"/>
    <w:rsid w:val="00F742E7"/>
    <w:rsid w:val="00FB2826"/>
    <w:rsid w:val="00FD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B20C"/>
  <w15:docId w15:val="{CF15526F-772F-4D7A-95B3-8DB0E5A2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F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F39"/>
    <w:pPr>
      <w:ind w:left="720"/>
      <w:contextualSpacing/>
    </w:pPr>
  </w:style>
  <w:style w:type="paragraph" w:styleId="Header">
    <w:name w:val="header"/>
    <w:basedOn w:val="Normal"/>
    <w:link w:val="HeaderChar"/>
    <w:uiPriority w:val="99"/>
    <w:unhideWhenUsed/>
    <w:rsid w:val="006E7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5F3"/>
  </w:style>
  <w:style w:type="paragraph" w:styleId="Footer">
    <w:name w:val="footer"/>
    <w:basedOn w:val="Normal"/>
    <w:link w:val="FooterChar"/>
    <w:uiPriority w:val="99"/>
    <w:unhideWhenUsed/>
    <w:rsid w:val="006E7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5F3"/>
  </w:style>
  <w:style w:type="paragraph" w:styleId="NoSpacing">
    <w:name w:val="No Spacing"/>
    <w:link w:val="NoSpacingChar"/>
    <w:uiPriority w:val="1"/>
    <w:qFormat/>
    <w:rsid w:val="007F3556"/>
    <w:pPr>
      <w:spacing w:after="0" w:line="240" w:lineRule="auto"/>
    </w:pPr>
  </w:style>
  <w:style w:type="paragraph" w:customStyle="1" w:styleId="Style1">
    <w:name w:val="Style1"/>
    <w:basedOn w:val="NoSpacing"/>
    <w:link w:val="Style1Char"/>
    <w:qFormat/>
    <w:rsid w:val="007F3556"/>
    <w:rPr>
      <w:color w:val="000000" w:themeColor="text1"/>
    </w:rPr>
  </w:style>
  <w:style w:type="table" w:styleId="TableGrid">
    <w:name w:val="Table Grid"/>
    <w:basedOn w:val="TableNormal"/>
    <w:uiPriority w:val="39"/>
    <w:rsid w:val="0087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F3556"/>
  </w:style>
  <w:style w:type="character" w:customStyle="1" w:styleId="Style1Char">
    <w:name w:val="Style1 Char"/>
    <w:basedOn w:val="NoSpacingChar"/>
    <w:link w:val="Style1"/>
    <w:rsid w:val="007F3556"/>
    <w:rPr>
      <w:color w:val="000000" w:themeColor="text1"/>
    </w:rPr>
  </w:style>
  <w:style w:type="character" w:styleId="Hyperlink">
    <w:name w:val="Hyperlink"/>
    <w:basedOn w:val="DefaultParagraphFont"/>
    <w:uiPriority w:val="99"/>
    <w:unhideWhenUsed/>
    <w:rsid w:val="008C2A23"/>
    <w:rPr>
      <w:color w:val="0563C1" w:themeColor="hyperlink"/>
      <w:u w:val="single"/>
    </w:rPr>
  </w:style>
  <w:style w:type="character" w:styleId="UnresolvedMention">
    <w:name w:val="Unresolved Mention"/>
    <w:basedOn w:val="DefaultParagraphFont"/>
    <w:uiPriority w:val="99"/>
    <w:semiHidden/>
    <w:unhideWhenUsed/>
    <w:rsid w:val="008C2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09033">
      <w:bodyDiv w:val="1"/>
      <w:marLeft w:val="0"/>
      <w:marRight w:val="0"/>
      <w:marTop w:val="0"/>
      <w:marBottom w:val="0"/>
      <w:divBdr>
        <w:top w:val="none" w:sz="0" w:space="0" w:color="auto"/>
        <w:left w:val="none" w:sz="0" w:space="0" w:color="auto"/>
        <w:bottom w:val="none" w:sz="0" w:space="0" w:color="auto"/>
        <w:right w:val="none" w:sz="0" w:space="0" w:color="auto"/>
      </w:divBdr>
    </w:div>
    <w:div w:id="305011802">
      <w:bodyDiv w:val="1"/>
      <w:marLeft w:val="0"/>
      <w:marRight w:val="0"/>
      <w:marTop w:val="0"/>
      <w:marBottom w:val="0"/>
      <w:divBdr>
        <w:top w:val="none" w:sz="0" w:space="0" w:color="auto"/>
        <w:left w:val="none" w:sz="0" w:space="0" w:color="auto"/>
        <w:bottom w:val="none" w:sz="0" w:space="0" w:color="auto"/>
        <w:right w:val="none" w:sz="0" w:space="0" w:color="auto"/>
      </w:divBdr>
      <w:divsChild>
        <w:div w:id="1558125033">
          <w:marLeft w:val="0"/>
          <w:marRight w:val="0"/>
          <w:marTop w:val="0"/>
          <w:marBottom w:val="0"/>
          <w:divBdr>
            <w:top w:val="none" w:sz="0" w:space="0" w:color="auto"/>
            <w:left w:val="none" w:sz="0" w:space="0" w:color="auto"/>
            <w:bottom w:val="none" w:sz="0" w:space="0" w:color="auto"/>
            <w:right w:val="none" w:sz="0" w:space="0" w:color="auto"/>
          </w:divBdr>
          <w:divsChild>
            <w:div w:id="107670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6052">
      <w:bodyDiv w:val="1"/>
      <w:marLeft w:val="0"/>
      <w:marRight w:val="0"/>
      <w:marTop w:val="0"/>
      <w:marBottom w:val="0"/>
      <w:divBdr>
        <w:top w:val="none" w:sz="0" w:space="0" w:color="auto"/>
        <w:left w:val="none" w:sz="0" w:space="0" w:color="auto"/>
        <w:bottom w:val="none" w:sz="0" w:space="0" w:color="auto"/>
        <w:right w:val="none" w:sz="0" w:space="0" w:color="auto"/>
      </w:divBdr>
      <w:divsChild>
        <w:div w:id="106169754">
          <w:marLeft w:val="0"/>
          <w:marRight w:val="0"/>
          <w:marTop w:val="0"/>
          <w:marBottom w:val="0"/>
          <w:divBdr>
            <w:top w:val="none" w:sz="0" w:space="0" w:color="auto"/>
            <w:left w:val="none" w:sz="0" w:space="0" w:color="auto"/>
            <w:bottom w:val="none" w:sz="0" w:space="0" w:color="auto"/>
            <w:right w:val="none" w:sz="0" w:space="0" w:color="auto"/>
          </w:divBdr>
          <w:divsChild>
            <w:div w:id="5190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5555">
      <w:bodyDiv w:val="1"/>
      <w:marLeft w:val="0"/>
      <w:marRight w:val="0"/>
      <w:marTop w:val="0"/>
      <w:marBottom w:val="0"/>
      <w:divBdr>
        <w:top w:val="none" w:sz="0" w:space="0" w:color="auto"/>
        <w:left w:val="none" w:sz="0" w:space="0" w:color="auto"/>
        <w:bottom w:val="none" w:sz="0" w:space="0" w:color="auto"/>
        <w:right w:val="none" w:sz="0" w:space="0" w:color="auto"/>
      </w:divBdr>
    </w:div>
    <w:div w:id="999385091">
      <w:bodyDiv w:val="1"/>
      <w:marLeft w:val="0"/>
      <w:marRight w:val="0"/>
      <w:marTop w:val="0"/>
      <w:marBottom w:val="0"/>
      <w:divBdr>
        <w:top w:val="none" w:sz="0" w:space="0" w:color="auto"/>
        <w:left w:val="none" w:sz="0" w:space="0" w:color="auto"/>
        <w:bottom w:val="none" w:sz="0" w:space="0" w:color="auto"/>
        <w:right w:val="none" w:sz="0" w:space="0" w:color="auto"/>
      </w:divBdr>
    </w:div>
    <w:div w:id="1733774665">
      <w:bodyDiv w:val="1"/>
      <w:marLeft w:val="0"/>
      <w:marRight w:val="0"/>
      <w:marTop w:val="0"/>
      <w:marBottom w:val="0"/>
      <w:divBdr>
        <w:top w:val="none" w:sz="0" w:space="0" w:color="auto"/>
        <w:left w:val="none" w:sz="0" w:space="0" w:color="auto"/>
        <w:bottom w:val="none" w:sz="0" w:space="0" w:color="auto"/>
        <w:right w:val="none" w:sz="0" w:space="0" w:color="auto"/>
      </w:divBdr>
    </w:div>
    <w:div w:id="1846166398">
      <w:bodyDiv w:val="1"/>
      <w:marLeft w:val="0"/>
      <w:marRight w:val="0"/>
      <w:marTop w:val="0"/>
      <w:marBottom w:val="0"/>
      <w:divBdr>
        <w:top w:val="none" w:sz="0" w:space="0" w:color="auto"/>
        <w:left w:val="none" w:sz="0" w:space="0" w:color="auto"/>
        <w:bottom w:val="none" w:sz="0" w:space="0" w:color="auto"/>
        <w:right w:val="none" w:sz="0" w:space="0" w:color="auto"/>
      </w:divBdr>
    </w:div>
    <w:div w:id="1892420776">
      <w:bodyDiv w:val="1"/>
      <w:marLeft w:val="0"/>
      <w:marRight w:val="0"/>
      <w:marTop w:val="0"/>
      <w:marBottom w:val="0"/>
      <w:divBdr>
        <w:top w:val="none" w:sz="0" w:space="0" w:color="auto"/>
        <w:left w:val="none" w:sz="0" w:space="0" w:color="auto"/>
        <w:bottom w:val="none" w:sz="0" w:space="0" w:color="auto"/>
        <w:right w:val="none" w:sz="0" w:space="0" w:color="auto"/>
      </w:divBdr>
    </w:div>
    <w:div w:id="2143620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FE3D0-F3BA-4655-851A-7076512B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LEACH, ASHLEY</dc:creator>
  <cp:keywords/>
  <dc:description/>
  <cp:lastModifiedBy>LEACH, ASHLEY</cp:lastModifiedBy>
  <cp:revision>5</cp:revision>
  <cp:lastPrinted>2022-07-21T02:12:00Z</cp:lastPrinted>
  <dcterms:created xsi:type="dcterms:W3CDTF">2025-12-19T21:40:00Z</dcterms:created>
  <dcterms:modified xsi:type="dcterms:W3CDTF">2026-01-03T17:18:00Z</dcterms:modified>
</cp:coreProperties>
</file>