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EF7CC" w14:textId="77777777" w:rsidR="00BF7A23" w:rsidRPr="005F1701" w:rsidRDefault="00BF7A23" w:rsidP="00AE5AD9">
      <w:pPr>
        <w:spacing w:line="240" w:lineRule="auto"/>
        <w:jc w:val="center"/>
        <w:rPr>
          <w:rFonts w:ascii="Times New Roman" w:hAnsi="Times New Roman" w:cs="Times New Roman"/>
          <w:b/>
          <w:bCs/>
        </w:rPr>
      </w:pPr>
      <w:r w:rsidRPr="005F1701">
        <w:rPr>
          <w:rFonts w:ascii="Times New Roman" w:hAnsi="Times New Roman" w:cs="Times New Roman"/>
          <w:b/>
          <w:bCs/>
        </w:rPr>
        <w:t>Ohio Vegetable &amp; Small Fruit Research &amp; Development Program</w:t>
      </w:r>
    </w:p>
    <w:p w14:paraId="24E9F070" w14:textId="26F6FE85" w:rsidR="00BF7A23" w:rsidRPr="005F1701" w:rsidRDefault="00A054EF" w:rsidP="00AE5AD9">
      <w:pPr>
        <w:spacing w:line="240" w:lineRule="auto"/>
        <w:jc w:val="center"/>
        <w:rPr>
          <w:rFonts w:ascii="Times New Roman" w:hAnsi="Times New Roman" w:cs="Times New Roman"/>
          <w:b/>
          <w:bCs/>
        </w:rPr>
      </w:pPr>
      <w:r>
        <w:rPr>
          <w:rFonts w:ascii="Times New Roman" w:hAnsi="Times New Roman" w:cs="Times New Roman"/>
          <w:b/>
          <w:bCs/>
        </w:rPr>
        <w:t>Final</w:t>
      </w:r>
      <w:r w:rsidR="00BF7A23" w:rsidRPr="005F1701">
        <w:rPr>
          <w:rFonts w:ascii="Times New Roman" w:hAnsi="Times New Roman" w:cs="Times New Roman"/>
          <w:b/>
          <w:bCs/>
        </w:rPr>
        <w:t xml:space="preserve"> Report 2025</w:t>
      </w:r>
    </w:p>
    <w:p w14:paraId="5DED7ED8" w14:textId="77777777" w:rsidR="00BF7A23" w:rsidRPr="005F1701" w:rsidRDefault="00BF7A23" w:rsidP="00AE5AD9">
      <w:pPr>
        <w:spacing w:line="240" w:lineRule="auto"/>
        <w:rPr>
          <w:rFonts w:ascii="Times New Roman" w:hAnsi="Times New Roman" w:cs="Times New Roman"/>
          <w:b/>
          <w:bCs/>
        </w:rPr>
      </w:pPr>
      <w:r w:rsidRPr="005F1701">
        <w:rPr>
          <w:rFonts w:ascii="Times New Roman" w:hAnsi="Times New Roman" w:cs="Times New Roman"/>
          <w:b/>
          <w:bCs/>
        </w:rPr>
        <w:t xml:space="preserve">Project Title: </w:t>
      </w:r>
    </w:p>
    <w:p w14:paraId="60F6C6F9" w14:textId="77777777" w:rsidR="006B409E" w:rsidRDefault="006B409E" w:rsidP="00AE5AD9">
      <w:pPr>
        <w:spacing w:line="240" w:lineRule="auto"/>
        <w:rPr>
          <w:rFonts w:ascii="Times New Roman" w:hAnsi="Times New Roman" w:cs="Times New Roman"/>
        </w:rPr>
      </w:pPr>
      <w:r w:rsidRPr="006B409E">
        <w:rPr>
          <w:rFonts w:ascii="Times New Roman" w:hAnsi="Times New Roman" w:cs="Times New Roman"/>
        </w:rPr>
        <w:t>Rapid and field-ready detection of soilborne pathogens using recombinase polymerase amplification</w:t>
      </w:r>
    </w:p>
    <w:p w14:paraId="5895CE95" w14:textId="5C19B30C" w:rsidR="00BF7A23" w:rsidRPr="005F1701" w:rsidRDefault="00BF7A23" w:rsidP="00AE5AD9">
      <w:pPr>
        <w:spacing w:line="240" w:lineRule="auto"/>
        <w:rPr>
          <w:rFonts w:ascii="Times New Roman" w:hAnsi="Times New Roman" w:cs="Times New Roman"/>
          <w:b/>
          <w:bCs/>
        </w:rPr>
      </w:pPr>
      <w:r w:rsidRPr="005F1701">
        <w:rPr>
          <w:rFonts w:ascii="Times New Roman" w:hAnsi="Times New Roman" w:cs="Times New Roman"/>
          <w:b/>
          <w:bCs/>
        </w:rPr>
        <w:t>Principle Investigators:</w:t>
      </w:r>
      <w:r w:rsidRPr="005F1701">
        <w:rPr>
          <w:rFonts w:ascii="Times New Roman" w:hAnsi="Times New Roman" w:cs="Times New Roman"/>
        </w:rPr>
        <w:t xml:space="preserve"> Andres Sanabria-Velazquez and Francesca Rotondo</w:t>
      </w:r>
      <w:r w:rsidRPr="005F1701">
        <w:rPr>
          <w:rFonts w:ascii="Times New Roman" w:hAnsi="Times New Roman" w:cs="Times New Roman"/>
          <w:b/>
          <w:bCs/>
        </w:rPr>
        <w:t xml:space="preserve"> </w:t>
      </w:r>
    </w:p>
    <w:p w14:paraId="629B22B8" w14:textId="1A0B8AA7" w:rsidR="00BF7A23" w:rsidRPr="005F1701" w:rsidRDefault="00BF7A23" w:rsidP="00AE5AD9">
      <w:pPr>
        <w:pStyle w:val="BodyText"/>
        <w:spacing w:before="120" w:after="120"/>
        <w:rPr>
          <w:rFonts w:ascii="Times New Roman" w:hAnsi="Times New Roman" w:cs="Times New Roman"/>
          <w:sz w:val="24"/>
          <w:szCs w:val="24"/>
        </w:rPr>
      </w:pPr>
      <w:r w:rsidRPr="005F1701">
        <w:rPr>
          <w:rFonts w:ascii="Times New Roman" w:hAnsi="Times New Roman" w:cs="Times New Roman"/>
          <w:b/>
          <w:bCs/>
          <w:sz w:val="24"/>
          <w:szCs w:val="24"/>
        </w:rPr>
        <w:t>E-mail:</w:t>
      </w:r>
      <w:r w:rsidRPr="005F1701">
        <w:rPr>
          <w:rFonts w:ascii="Times New Roman" w:hAnsi="Times New Roman" w:cs="Times New Roman"/>
          <w:sz w:val="24"/>
          <w:szCs w:val="24"/>
        </w:rPr>
        <w:t xml:space="preserve"> </w:t>
      </w:r>
      <w:hyperlink r:id="rId5" w:history="1">
        <w:r w:rsidRPr="005F1701">
          <w:rPr>
            <w:rStyle w:val="Hyperlink"/>
            <w:rFonts w:ascii="Times New Roman" w:hAnsi="Times New Roman" w:cs="Times New Roman"/>
            <w:sz w:val="24"/>
            <w:szCs w:val="24"/>
          </w:rPr>
          <w:t>sanabria-velazquez.1@osu.edu</w:t>
        </w:r>
      </w:hyperlink>
      <w:r w:rsidR="0015046B" w:rsidRPr="0015046B">
        <w:rPr>
          <w:rStyle w:val="Hyperlink"/>
          <w:rFonts w:ascii="Times New Roman" w:hAnsi="Times New Roman" w:cs="Times New Roman"/>
          <w:sz w:val="24"/>
          <w:szCs w:val="24"/>
          <w:u w:val="none"/>
        </w:rPr>
        <w:t xml:space="preserve"> </w:t>
      </w:r>
      <w:r w:rsidR="0015046B">
        <w:rPr>
          <w:rStyle w:val="Hyperlink"/>
          <w:rFonts w:ascii="Times New Roman" w:hAnsi="Times New Roman" w:cs="Times New Roman"/>
          <w:sz w:val="24"/>
          <w:szCs w:val="24"/>
          <w:u w:val="none"/>
        </w:rPr>
        <w:t xml:space="preserve">            </w:t>
      </w:r>
      <w:hyperlink r:id="rId6" w:history="1">
        <w:r w:rsidR="0015046B" w:rsidRPr="00A17399">
          <w:rPr>
            <w:rStyle w:val="Hyperlink"/>
            <w:rFonts w:ascii="Times New Roman" w:hAnsi="Times New Roman" w:cs="Times New Roman"/>
            <w:sz w:val="24"/>
            <w:szCs w:val="24"/>
          </w:rPr>
          <w:t>rotondo.11@osu.edu</w:t>
        </w:r>
      </w:hyperlink>
    </w:p>
    <w:p w14:paraId="3A4988AA" w14:textId="6C5CA506" w:rsidR="00BF7A23" w:rsidRPr="005F1701" w:rsidRDefault="00BF7A23" w:rsidP="00AE5AD9">
      <w:pPr>
        <w:spacing w:line="240" w:lineRule="auto"/>
        <w:rPr>
          <w:rFonts w:ascii="Times New Roman" w:hAnsi="Times New Roman" w:cs="Times New Roman"/>
        </w:rPr>
      </w:pPr>
      <w:r w:rsidRPr="005F1701">
        <w:rPr>
          <w:rFonts w:ascii="Times New Roman" w:hAnsi="Times New Roman" w:cs="Times New Roman"/>
          <w:b/>
          <w:bCs/>
        </w:rPr>
        <w:t xml:space="preserve">Other Key Personnel: </w:t>
      </w:r>
      <w:r w:rsidRPr="005F1701">
        <w:rPr>
          <w:rFonts w:ascii="Times New Roman" w:hAnsi="Times New Roman" w:cs="Times New Roman"/>
        </w:rPr>
        <w:t>Raven S. Schaffter</w:t>
      </w:r>
      <w:r w:rsidR="004A4EE4">
        <w:rPr>
          <w:rFonts w:ascii="Times New Roman" w:hAnsi="Times New Roman" w:cs="Times New Roman"/>
        </w:rPr>
        <w:t xml:space="preserve"> (Research Technician) </w:t>
      </w:r>
    </w:p>
    <w:p w14:paraId="2CB3D7B2" w14:textId="58B7E7F0" w:rsidR="00BF7A23" w:rsidRPr="005F1701" w:rsidRDefault="00BF7A23" w:rsidP="00AE5AD9">
      <w:pPr>
        <w:spacing w:line="240" w:lineRule="auto"/>
        <w:rPr>
          <w:rFonts w:ascii="Times New Roman" w:hAnsi="Times New Roman" w:cs="Times New Roman"/>
          <w:b/>
          <w:bCs/>
        </w:rPr>
      </w:pPr>
      <w:r w:rsidRPr="005F1701">
        <w:rPr>
          <w:rFonts w:ascii="Times New Roman" w:hAnsi="Times New Roman" w:cs="Times New Roman"/>
          <w:b/>
          <w:bCs/>
        </w:rPr>
        <w:t xml:space="preserve">Phone Number: </w:t>
      </w:r>
      <w:r w:rsidRPr="004A4EE4">
        <w:rPr>
          <w:rFonts w:ascii="Times New Roman" w:hAnsi="Times New Roman" w:cs="Times New Roman"/>
        </w:rPr>
        <w:t>330-263-3721 (FR), 991-581-2905</w:t>
      </w:r>
      <w:r w:rsidR="004A4EE4" w:rsidRPr="004A4EE4">
        <w:rPr>
          <w:rFonts w:ascii="Times New Roman" w:hAnsi="Times New Roman" w:cs="Times New Roman"/>
        </w:rPr>
        <w:t xml:space="preserve"> (ASV)</w:t>
      </w:r>
    </w:p>
    <w:p w14:paraId="1D548ECA" w14:textId="77777777" w:rsidR="00BF7A23" w:rsidRPr="005F1701" w:rsidRDefault="00BF7A23" w:rsidP="00AE5AD9">
      <w:pPr>
        <w:spacing w:line="240" w:lineRule="auto"/>
        <w:rPr>
          <w:rFonts w:ascii="Times New Roman" w:hAnsi="Times New Roman" w:cs="Times New Roman"/>
          <w:b/>
          <w:bCs/>
        </w:rPr>
      </w:pPr>
      <w:r w:rsidRPr="005F1701">
        <w:rPr>
          <w:rFonts w:ascii="Times New Roman" w:hAnsi="Times New Roman" w:cs="Times New Roman"/>
          <w:b/>
          <w:bCs/>
        </w:rPr>
        <w:t>Cooperating Institution: The Ohio State University</w:t>
      </w:r>
    </w:p>
    <w:p w14:paraId="63E3694B" w14:textId="342F41DE" w:rsidR="00BF7A23" w:rsidRPr="005F1701" w:rsidRDefault="00BF7A23" w:rsidP="00AE5AD9">
      <w:pPr>
        <w:spacing w:line="240" w:lineRule="auto"/>
        <w:rPr>
          <w:rFonts w:ascii="Times New Roman" w:hAnsi="Times New Roman" w:cs="Times New Roman"/>
        </w:rPr>
      </w:pPr>
      <w:r w:rsidRPr="005F1701">
        <w:rPr>
          <w:rFonts w:ascii="Times New Roman" w:hAnsi="Times New Roman" w:cs="Times New Roman"/>
          <w:b/>
          <w:bCs/>
        </w:rPr>
        <w:t xml:space="preserve">Mailing Address: </w:t>
      </w:r>
      <w:r w:rsidRPr="005F1701">
        <w:rPr>
          <w:rFonts w:ascii="Times New Roman" w:hAnsi="Times New Roman" w:cs="Times New Roman"/>
        </w:rPr>
        <w:t>Department of Plant Pathology, 1680 Madison Ave., Wooster, OH</w:t>
      </w:r>
      <w:r w:rsidR="007F4B68" w:rsidRPr="005F1701">
        <w:rPr>
          <w:rFonts w:ascii="Times New Roman" w:hAnsi="Times New Roman" w:cs="Times New Roman"/>
        </w:rPr>
        <w:t xml:space="preserve">, </w:t>
      </w:r>
      <w:r w:rsidRPr="005F1701">
        <w:rPr>
          <w:rFonts w:ascii="Times New Roman" w:hAnsi="Times New Roman" w:cs="Times New Roman"/>
        </w:rPr>
        <w:t>4469</w:t>
      </w:r>
    </w:p>
    <w:p w14:paraId="68DF79BD" w14:textId="13FE9F8B" w:rsidR="00BF7A23" w:rsidRPr="005F1701" w:rsidRDefault="00BF7A23" w:rsidP="00AE5AD9">
      <w:pPr>
        <w:spacing w:before="120" w:after="120" w:line="240" w:lineRule="auto"/>
        <w:rPr>
          <w:rFonts w:ascii="Times New Roman" w:hAnsi="Times New Roman" w:cs="Times New Roman"/>
          <w:b/>
          <w:bCs/>
        </w:rPr>
      </w:pPr>
      <w:r w:rsidRPr="005F1701">
        <w:rPr>
          <w:rFonts w:ascii="Times New Roman" w:hAnsi="Times New Roman" w:cs="Times New Roman"/>
          <w:b/>
          <w:bCs/>
        </w:rPr>
        <w:t xml:space="preserve">Why was this project funded? </w:t>
      </w:r>
    </w:p>
    <w:p w14:paraId="789878AE" w14:textId="1E9CD0C0" w:rsidR="0015046B" w:rsidRPr="00696FF5" w:rsidRDefault="006349CA" w:rsidP="00AE5AD9">
      <w:pPr>
        <w:spacing w:line="240" w:lineRule="auto"/>
        <w:rPr>
          <w:rFonts w:ascii="Times New Roman" w:hAnsi="Times New Roman" w:cs="Times New Roman"/>
          <w:noProof/>
        </w:rPr>
      </w:pPr>
      <w:r w:rsidRPr="00696FF5">
        <w:rPr>
          <w:rFonts w:ascii="Times New Roman" w:hAnsi="Times New Roman" w:cs="Times New Roman"/>
        </w:rPr>
        <w:t xml:space="preserve">This project was funded to address a critical gap in the rapid and accurate detection of soilborne pathogens affecting Ohio’s vegetable industry. Diseases caused by </w:t>
      </w:r>
      <w:r w:rsidRPr="00696FF5">
        <w:rPr>
          <w:rFonts w:ascii="Times New Roman" w:hAnsi="Times New Roman" w:cs="Times New Roman"/>
          <w:i/>
          <w:iCs/>
        </w:rPr>
        <w:t>Verticillium dahliae</w:t>
      </w:r>
      <w:r w:rsidRPr="00696FF5">
        <w:rPr>
          <w:rFonts w:ascii="Times New Roman" w:hAnsi="Times New Roman" w:cs="Times New Roman"/>
        </w:rPr>
        <w:t xml:space="preserve">, </w:t>
      </w:r>
      <w:r w:rsidRPr="00696FF5">
        <w:rPr>
          <w:rFonts w:ascii="Times New Roman" w:hAnsi="Times New Roman" w:cs="Times New Roman"/>
          <w:i/>
          <w:iCs/>
        </w:rPr>
        <w:t xml:space="preserve">Fusarium </w:t>
      </w:r>
      <w:proofErr w:type="spellStart"/>
      <w:r w:rsidRPr="00696FF5">
        <w:rPr>
          <w:rFonts w:ascii="Times New Roman" w:hAnsi="Times New Roman" w:cs="Times New Roman"/>
          <w:i/>
          <w:iCs/>
        </w:rPr>
        <w:t>oxysporum</w:t>
      </w:r>
      <w:proofErr w:type="spellEnd"/>
      <w:r w:rsidRPr="00696FF5">
        <w:rPr>
          <w:rFonts w:ascii="Times New Roman" w:hAnsi="Times New Roman" w:cs="Times New Roman"/>
        </w:rPr>
        <w:t xml:space="preserve">, </w:t>
      </w:r>
      <w:r w:rsidR="00CD61D4" w:rsidRPr="00696FF5">
        <w:rPr>
          <w:rFonts w:ascii="Times New Roman" w:hAnsi="Times New Roman" w:cs="Times New Roman"/>
        </w:rPr>
        <w:t>Root-knot nematodes</w:t>
      </w:r>
      <w:r w:rsidR="00DD1354">
        <w:rPr>
          <w:rFonts w:ascii="Times New Roman" w:hAnsi="Times New Roman" w:cs="Times New Roman"/>
        </w:rPr>
        <w:t>,</w:t>
      </w:r>
      <w:r w:rsidR="00CD61D4" w:rsidRPr="00696FF5">
        <w:rPr>
          <w:rFonts w:ascii="Times New Roman" w:hAnsi="Times New Roman" w:cs="Times New Roman"/>
        </w:rPr>
        <w:t xml:space="preserve"> </w:t>
      </w:r>
      <w:r w:rsidRPr="00696FF5">
        <w:rPr>
          <w:rFonts w:ascii="Times New Roman" w:hAnsi="Times New Roman" w:cs="Times New Roman"/>
        </w:rPr>
        <w:t xml:space="preserve">and other soilborne </w:t>
      </w:r>
      <w:r w:rsidR="00D40A96">
        <w:rPr>
          <w:rFonts w:ascii="Times New Roman" w:hAnsi="Times New Roman" w:cs="Times New Roman"/>
        </w:rPr>
        <w:t>pathogens</w:t>
      </w:r>
      <w:r w:rsidRPr="00696FF5">
        <w:rPr>
          <w:rFonts w:ascii="Times New Roman" w:hAnsi="Times New Roman" w:cs="Times New Roman"/>
        </w:rPr>
        <w:t xml:space="preserve"> lead to significant yield and quality losses, yet their diagnosis currently depends on laboratory-based molecular tools that are time-consuming, require specialized equipment, and delay management decisions. Growers and consultants need an affordable, field-ready diagnostic method to confirm the presence of pathogens early in the season and guide immediate management actions. The proposed work integrates recombinase polymerase amplification (RPA)</w:t>
      </w:r>
      <w:r w:rsidR="003342C1" w:rsidRPr="00696FF5">
        <w:rPr>
          <w:rFonts w:ascii="Times New Roman" w:hAnsi="Times New Roman" w:cs="Times New Roman"/>
        </w:rPr>
        <w:t xml:space="preserve">, </w:t>
      </w:r>
      <w:r w:rsidRPr="00696FF5">
        <w:rPr>
          <w:rFonts w:ascii="Times New Roman" w:hAnsi="Times New Roman" w:cs="Times New Roman"/>
        </w:rPr>
        <w:t>a portable, isothermal DNA amplification technique</w:t>
      </w:r>
      <w:r w:rsidR="003342C1" w:rsidRPr="00696FF5">
        <w:rPr>
          <w:rFonts w:ascii="Times New Roman" w:hAnsi="Times New Roman" w:cs="Times New Roman"/>
        </w:rPr>
        <w:t xml:space="preserve">, </w:t>
      </w:r>
      <w:r w:rsidRPr="00696FF5">
        <w:rPr>
          <w:rFonts w:ascii="Times New Roman" w:hAnsi="Times New Roman" w:cs="Times New Roman"/>
        </w:rPr>
        <w:t xml:space="preserve">with Whatman FTA cards for simple DNA collection and preservation from soil and plant samples. By validating RPA against conventional PCR under Ohio conditions, this project directly supports the development of rapid, reliable, and user-friendly diagnostic tools that empower growers, reduce </w:t>
      </w:r>
      <w:proofErr w:type="gramStart"/>
      <w:r w:rsidRPr="00696FF5">
        <w:rPr>
          <w:rFonts w:ascii="Times New Roman" w:hAnsi="Times New Roman" w:cs="Times New Roman"/>
        </w:rPr>
        <w:t>disease spread</w:t>
      </w:r>
      <w:proofErr w:type="gramEnd"/>
      <w:r w:rsidRPr="00696FF5">
        <w:rPr>
          <w:rFonts w:ascii="Times New Roman" w:hAnsi="Times New Roman" w:cs="Times New Roman"/>
        </w:rPr>
        <w:t>, and strengthen the overall biosecurity and productivity of Ohio’s vegetable production systems.</w:t>
      </w:r>
    </w:p>
    <w:p w14:paraId="4F38FADE" w14:textId="0D4EAB89" w:rsidR="00BF7A23" w:rsidRDefault="00BF7A23" w:rsidP="00AE5AD9">
      <w:pPr>
        <w:spacing w:line="240" w:lineRule="auto"/>
        <w:rPr>
          <w:rFonts w:ascii="Times New Roman" w:hAnsi="Times New Roman" w:cs="Times New Roman"/>
          <w:b/>
          <w:bCs/>
        </w:rPr>
      </w:pPr>
      <w:r w:rsidRPr="005F1701">
        <w:rPr>
          <w:rFonts w:ascii="Times New Roman" w:hAnsi="Times New Roman" w:cs="Times New Roman"/>
          <w:b/>
          <w:bCs/>
        </w:rPr>
        <w:t>Project outline</w:t>
      </w:r>
    </w:p>
    <w:p w14:paraId="41CC3998" w14:textId="60D76DA0" w:rsidR="00D40A96" w:rsidRPr="00D40A96" w:rsidRDefault="00D40A96" w:rsidP="00AE5AD9">
      <w:pPr>
        <w:spacing w:line="240" w:lineRule="auto"/>
        <w:rPr>
          <w:rFonts w:ascii="Times New Roman" w:hAnsi="Times New Roman" w:cs="Times New Roman"/>
        </w:rPr>
      </w:pPr>
      <w:r w:rsidRPr="00D40A96">
        <w:rPr>
          <w:rFonts w:ascii="Times New Roman" w:hAnsi="Times New Roman" w:cs="Times New Roman"/>
        </w:rPr>
        <w:t xml:space="preserve">This project aims to develop and validate a rapid, field-ready diagnostic method for detecting major soilborne pathogens in Ohio vegetable systems using recombinase polymerase amplification (RPA) and Whatman FTA cards. The work involves designing and optimizing RPA assays for </w:t>
      </w:r>
      <w:r>
        <w:rPr>
          <w:rFonts w:ascii="Times New Roman" w:hAnsi="Times New Roman" w:cs="Times New Roman"/>
        </w:rPr>
        <w:t>soilborne pathogens such as</w:t>
      </w:r>
      <w:r w:rsidRPr="00D40A96">
        <w:rPr>
          <w:rFonts w:ascii="Times New Roman" w:hAnsi="Times New Roman" w:cs="Times New Roman"/>
        </w:rPr>
        <w:t xml:space="preserve"> </w:t>
      </w:r>
      <w:r w:rsidRPr="00D40A96">
        <w:rPr>
          <w:rFonts w:ascii="Times New Roman" w:hAnsi="Times New Roman" w:cs="Times New Roman"/>
          <w:i/>
          <w:iCs/>
        </w:rPr>
        <w:t xml:space="preserve">Fusarium </w:t>
      </w:r>
      <w:proofErr w:type="spellStart"/>
      <w:r w:rsidRPr="00D40A96">
        <w:rPr>
          <w:rFonts w:ascii="Times New Roman" w:hAnsi="Times New Roman" w:cs="Times New Roman"/>
          <w:i/>
          <w:iCs/>
        </w:rPr>
        <w:t>oxysporum</w:t>
      </w:r>
      <w:proofErr w:type="spellEnd"/>
      <w:r w:rsidRPr="00D40A96">
        <w:rPr>
          <w:rFonts w:ascii="Times New Roman" w:hAnsi="Times New Roman" w:cs="Times New Roman"/>
        </w:rPr>
        <w:t xml:space="preserve">, </w:t>
      </w:r>
      <w:r>
        <w:rPr>
          <w:rFonts w:ascii="Times New Roman" w:hAnsi="Times New Roman" w:cs="Times New Roman"/>
        </w:rPr>
        <w:t xml:space="preserve">and </w:t>
      </w:r>
      <w:r w:rsidRPr="00696FF5">
        <w:rPr>
          <w:rFonts w:ascii="Times New Roman" w:hAnsi="Times New Roman" w:cs="Times New Roman"/>
        </w:rPr>
        <w:t xml:space="preserve">Root-knot nematodes </w:t>
      </w:r>
      <w:r w:rsidRPr="00D40A96">
        <w:rPr>
          <w:rFonts w:ascii="Times New Roman" w:hAnsi="Times New Roman" w:cs="Times New Roman"/>
        </w:rPr>
        <w:t>evaluating FTA cards for simple field sampling and DNA preservation, and benchmarking RPA performance against conventional PCR to assess sensitivity, specificity, and reliability. The project will also integrate lateral-flow strips for easy, on-site visualization of results and conduct field testing in grower fields with known disease histories. The outcome will be a validated, low-cost diagnostic workflow capable of delivering accurate results in under 30 minutes, empowering growers and Extension personnel with faster, data-driven tools for soilborne disease management in Ohio.</w:t>
      </w:r>
    </w:p>
    <w:p w14:paraId="000DBEA6" w14:textId="27F58B2A" w:rsidR="00BF7A23" w:rsidRDefault="00BF7A23" w:rsidP="00AE5AD9">
      <w:pPr>
        <w:spacing w:line="240" w:lineRule="auto"/>
        <w:rPr>
          <w:rFonts w:ascii="Times New Roman" w:hAnsi="Times New Roman" w:cs="Times New Roman"/>
          <w:b/>
          <w:bCs/>
        </w:rPr>
      </w:pPr>
      <w:r w:rsidRPr="005F1701">
        <w:rPr>
          <w:rFonts w:ascii="Times New Roman" w:hAnsi="Times New Roman" w:cs="Times New Roman"/>
          <w:b/>
          <w:bCs/>
        </w:rPr>
        <w:t>Take-home messages</w:t>
      </w:r>
    </w:p>
    <w:p w14:paraId="62A82710" w14:textId="258B1766" w:rsidR="007D3844" w:rsidRPr="007D3844" w:rsidRDefault="007D3844" w:rsidP="00AE5AD9">
      <w:pPr>
        <w:pStyle w:val="ListParagraph"/>
        <w:numPr>
          <w:ilvl w:val="0"/>
          <w:numId w:val="6"/>
        </w:numPr>
        <w:spacing w:after="0" w:line="240" w:lineRule="auto"/>
        <w:rPr>
          <w:rFonts w:ascii="Times New Roman" w:hAnsi="Times New Roman" w:cs="Times New Roman"/>
        </w:rPr>
      </w:pPr>
      <w:r w:rsidRPr="007D3844">
        <w:rPr>
          <w:rFonts w:ascii="Times New Roman" w:hAnsi="Times New Roman" w:cs="Times New Roman"/>
        </w:rPr>
        <w:lastRenderedPageBreak/>
        <w:t xml:space="preserve">The combination of RPA and Whatman FTA cards provides a fast, portable, and reliable method for detecting </w:t>
      </w:r>
      <w:r w:rsidRPr="007D3844">
        <w:rPr>
          <w:rFonts w:ascii="Times New Roman" w:hAnsi="Times New Roman" w:cs="Times New Roman"/>
          <w:i/>
          <w:iCs/>
        </w:rPr>
        <w:t xml:space="preserve">Meloidogyne </w:t>
      </w:r>
      <w:r w:rsidRPr="007D3844">
        <w:rPr>
          <w:rFonts w:ascii="Times New Roman" w:hAnsi="Times New Roman" w:cs="Times New Roman"/>
        </w:rPr>
        <w:t>spp</w:t>
      </w:r>
      <w:r>
        <w:rPr>
          <w:rFonts w:ascii="Times New Roman" w:hAnsi="Times New Roman" w:cs="Times New Roman"/>
          <w:i/>
          <w:iCs/>
        </w:rPr>
        <w:t xml:space="preserve">. </w:t>
      </w:r>
      <w:r w:rsidRPr="007D3844">
        <w:rPr>
          <w:rFonts w:ascii="Times New Roman" w:hAnsi="Times New Roman" w:cs="Times New Roman"/>
        </w:rPr>
        <w:t>directly from infected tissue.</w:t>
      </w:r>
    </w:p>
    <w:p w14:paraId="68CCA3F7" w14:textId="77777777" w:rsidR="007D3844" w:rsidRPr="007D3844" w:rsidRDefault="007D3844" w:rsidP="00AE5AD9">
      <w:pPr>
        <w:pStyle w:val="ListParagraph"/>
        <w:numPr>
          <w:ilvl w:val="0"/>
          <w:numId w:val="6"/>
        </w:numPr>
        <w:spacing w:after="0" w:line="240" w:lineRule="auto"/>
        <w:rPr>
          <w:rFonts w:ascii="Times New Roman" w:hAnsi="Times New Roman" w:cs="Times New Roman"/>
        </w:rPr>
      </w:pPr>
      <w:r w:rsidRPr="007D3844">
        <w:rPr>
          <w:rFonts w:ascii="Times New Roman" w:hAnsi="Times New Roman" w:cs="Times New Roman"/>
        </w:rPr>
        <w:t>The method eliminates the need for laboratory-based thermal cyclers and refrigeration, making it ideal for on-site diagnostics in fields, packinghouses, and inspection stations.</w:t>
      </w:r>
    </w:p>
    <w:p w14:paraId="5F63FBF0" w14:textId="77777777" w:rsidR="007D3844" w:rsidRPr="007D3844" w:rsidRDefault="007D3844" w:rsidP="00AE5AD9">
      <w:pPr>
        <w:pStyle w:val="ListParagraph"/>
        <w:numPr>
          <w:ilvl w:val="0"/>
          <w:numId w:val="6"/>
        </w:numPr>
        <w:spacing w:after="0" w:line="240" w:lineRule="auto"/>
        <w:rPr>
          <w:rFonts w:ascii="Times New Roman" w:hAnsi="Times New Roman" w:cs="Times New Roman"/>
        </w:rPr>
      </w:pPr>
      <w:r w:rsidRPr="007D3844">
        <w:rPr>
          <w:rFonts w:ascii="Times New Roman" w:hAnsi="Times New Roman" w:cs="Times New Roman"/>
        </w:rPr>
        <w:t>RPA was up to ten times more sensitive than PCR, detecting as little as 0.0008 ng/µL of nematode DNA after 60 minutes of incubation.</w:t>
      </w:r>
    </w:p>
    <w:p w14:paraId="39F18C6D" w14:textId="77777777" w:rsidR="007D3844" w:rsidRPr="007D3844" w:rsidRDefault="007D3844" w:rsidP="00AE5AD9">
      <w:pPr>
        <w:pStyle w:val="ListParagraph"/>
        <w:numPr>
          <w:ilvl w:val="0"/>
          <w:numId w:val="6"/>
        </w:numPr>
        <w:spacing w:after="0" w:line="240" w:lineRule="auto"/>
        <w:rPr>
          <w:rFonts w:ascii="Times New Roman" w:hAnsi="Times New Roman" w:cs="Times New Roman"/>
        </w:rPr>
      </w:pPr>
      <w:r w:rsidRPr="007D3844">
        <w:rPr>
          <w:rFonts w:ascii="Times New Roman" w:hAnsi="Times New Roman" w:cs="Times New Roman"/>
        </w:rPr>
        <w:t>Lateral-flow strips allowed clear, visual detection of amplification results in under 30 minutes, simplifying interpretation for non-specialists.</w:t>
      </w:r>
    </w:p>
    <w:p w14:paraId="0E9551CE" w14:textId="77777777" w:rsidR="007D3844" w:rsidRPr="007D3844" w:rsidRDefault="007D3844" w:rsidP="00AE5AD9">
      <w:pPr>
        <w:pStyle w:val="ListParagraph"/>
        <w:numPr>
          <w:ilvl w:val="0"/>
          <w:numId w:val="6"/>
        </w:numPr>
        <w:spacing w:after="0" w:line="240" w:lineRule="auto"/>
        <w:rPr>
          <w:rFonts w:ascii="Times New Roman" w:hAnsi="Times New Roman" w:cs="Times New Roman"/>
        </w:rPr>
      </w:pPr>
      <w:r w:rsidRPr="007D3844">
        <w:rPr>
          <w:rFonts w:ascii="Times New Roman" w:hAnsi="Times New Roman" w:cs="Times New Roman"/>
        </w:rPr>
        <w:t>The workflow is safe, low-cost, and easy to use, enabling faster management decisions and reducing the risk of spreading regulated nematodes through contaminated planting material or shipments.</w:t>
      </w:r>
    </w:p>
    <w:p w14:paraId="77CC112D" w14:textId="77777777" w:rsidR="007D3844" w:rsidRPr="007D3844" w:rsidRDefault="007D3844" w:rsidP="00AE5AD9">
      <w:pPr>
        <w:pStyle w:val="ListParagraph"/>
        <w:numPr>
          <w:ilvl w:val="0"/>
          <w:numId w:val="6"/>
        </w:numPr>
        <w:spacing w:after="0" w:line="240" w:lineRule="auto"/>
        <w:rPr>
          <w:rFonts w:ascii="Times New Roman" w:hAnsi="Times New Roman" w:cs="Times New Roman"/>
        </w:rPr>
      </w:pPr>
      <w:r w:rsidRPr="007D3844">
        <w:rPr>
          <w:rFonts w:ascii="Times New Roman" w:hAnsi="Times New Roman" w:cs="Times New Roman"/>
        </w:rPr>
        <w:t xml:space="preserve">Ongoing work is expanding this platform to detect soilborne fungi such as </w:t>
      </w:r>
      <w:r w:rsidRPr="009522D3">
        <w:rPr>
          <w:rFonts w:ascii="Times New Roman" w:hAnsi="Times New Roman" w:cs="Times New Roman"/>
          <w:i/>
          <w:iCs/>
        </w:rPr>
        <w:t xml:space="preserve">Fusarium </w:t>
      </w:r>
      <w:proofErr w:type="spellStart"/>
      <w:r w:rsidRPr="009522D3">
        <w:rPr>
          <w:rFonts w:ascii="Times New Roman" w:hAnsi="Times New Roman" w:cs="Times New Roman"/>
          <w:i/>
          <w:iCs/>
        </w:rPr>
        <w:t>oxysporum</w:t>
      </w:r>
      <w:proofErr w:type="spellEnd"/>
      <w:r w:rsidRPr="007D3844">
        <w:rPr>
          <w:rFonts w:ascii="Times New Roman" w:hAnsi="Times New Roman" w:cs="Times New Roman"/>
        </w:rPr>
        <w:t>, aiming to develop a comprehensive, field-ready diagnostic toolkit for Ohio vegetable growers.</w:t>
      </w:r>
    </w:p>
    <w:p w14:paraId="24F4C45E" w14:textId="11DA1E60" w:rsidR="00BF7A23" w:rsidRDefault="00BF7A23" w:rsidP="00AE5AD9">
      <w:pPr>
        <w:spacing w:line="240" w:lineRule="auto"/>
        <w:rPr>
          <w:rFonts w:ascii="Times New Roman" w:hAnsi="Times New Roman" w:cs="Times New Roman"/>
          <w:b/>
          <w:bCs/>
        </w:rPr>
      </w:pPr>
      <w:r w:rsidRPr="005F1701">
        <w:rPr>
          <w:rFonts w:ascii="Times New Roman" w:hAnsi="Times New Roman" w:cs="Times New Roman"/>
          <w:b/>
          <w:bCs/>
        </w:rPr>
        <w:t>Impacts</w:t>
      </w:r>
    </w:p>
    <w:p w14:paraId="095D26BA" w14:textId="1BAF5862" w:rsidR="00CD529C" w:rsidRPr="00CD529C" w:rsidRDefault="00CD529C" w:rsidP="00AE5AD9">
      <w:pPr>
        <w:spacing w:line="240" w:lineRule="auto"/>
        <w:rPr>
          <w:rFonts w:ascii="Times New Roman" w:hAnsi="Times New Roman" w:cs="Times New Roman"/>
        </w:rPr>
      </w:pPr>
      <w:r w:rsidRPr="00CD529C">
        <w:rPr>
          <w:rFonts w:ascii="Times New Roman" w:hAnsi="Times New Roman" w:cs="Times New Roman"/>
        </w:rPr>
        <w:t xml:space="preserve">This project advances rapid diagnostic capacity for soilborne pathogens that threaten Ohio’s vegetable industry. By integrating recombinase polymerase amplification (RPA) with Whatman FTA cards, we developed a portable workflow that eliminates the need for specialized equipment and cold storage, reducing diagnostic turnaround from several days to less than one hour. The method enhances on-site decision-making for growers, consultants, and inspectors, enabling faster containment of </w:t>
      </w:r>
      <w:r w:rsidRPr="00CD529C">
        <w:rPr>
          <w:rFonts w:ascii="Times New Roman" w:hAnsi="Times New Roman" w:cs="Times New Roman"/>
          <w:i/>
          <w:iCs/>
        </w:rPr>
        <w:t xml:space="preserve">Meloidogyne </w:t>
      </w:r>
      <w:r w:rsidR="00103A7D" w:rsidRPr="00103A7D">
        <w:rPr>
          <w:rFonts w:ascii="Times New Roman" w:hAnsi="Times New Roman" w:cs="Times New Roman"/>
        </w:rPr>
        <w:t>spp.</w:t>
      </w:r>
      <w:r w:rsidR="00103A7D">
        <w:rPr>
          <w:rFonts w:ascii="Times New Roman" w:hAnsi="Times New Roman" w:cs="Times New Roman"/>
          <w:i/>
          <w:iCs/>
        </w:rPr>
        <w:t xml:space="preserve"> </w:t>
      </w:r>
      <w:r w:rsidRPr="00CD529C">
        <w:rPr>
          <w:rFonts w:ascii="Times New Roman" w:hAnsi="Times New Roman" w:cs="Times New Roman"/>
        </w:rPr>
        <w:t>and reducing the risk of its spread through planting material or shipments.</w:t>
      </w:r>
    </w:p>
    <w:p w14:paraId="55A36C36" w14:textId="77777777" w:rsidR="00CD529C" w:rsidRPr="00CD529C" w:rsidRDefault="00CD529C" w:rsidP="00AE5AD9">
      <w:pPr>
        <w:spacing w:line="240" w:lineRule="auto"/>
        <w:rPr>
          <w:rFonts w:ascii="Times New Roman" w:hAnsi="Times New Roman" w:cs="Times New Roman"/>
        </w:rPr>
      </w:pPr>
      <w:r w:rsidRPr="00CD529C">
        <w:rPr>
          <w:rFonts w:ascii="Times New Roman" w:hAnsi="Times New Roman" w:cs="Times New Roman"/>
        </w:rPr>
        <w:t xml:space="preserve">Beyond nematodes, the ongoing expansion of this platform to </w:t>
      </w:r>
      <w:r w:rsidRPr="00CD529C">
        <w:rPr>
          <w:rFonts w:ascii="Times New Roman" w:hAnsi="Times New Roman" w:cs="Times New Roman"/>
          <w:i/>
          <w:iCs/>
        </w:rPr>
        <w:t xml:space="preserve">Fusarium </w:t>
      </w:r>
      <w:r w:rsidRPr="00CD529C">
        <w:rPr>
          <w:rFonts w:ascii="Times New Roman" w:hAnsi="Times New Roman" w:cs="Times New Roman"/>
        </w:rPr>
        <w:t xml:space="preserve">and other key soilborne pathogens will further strengthen Ohio’s plant health surveillance network. The resulting technology supports early detection, regulatory compliance, and sustainable disease management, while lowering costs associated with sample transport and laboratory processing. Ultimately, this work contributes to a more resilient and </w:t>
      </w:r>
      <w:proofErr w:type="spellStart"/>
      <w:r w:rsidRPr="00CD529C">
        <w:rPr>
          <w:rFonts w:ascii="Times New Roman" w:hAnsi="Times New Roman" w:cs="Times New Roman"/>
        </w:rPr>
        <w:t>biosecure</w:t>
      </w:r>
      <w:proofErr w:type="spellEnd"/>
      <w:r w:rsidRPr="00CD529C">
        <w:rPr>
          <w:rFonts w:ascii="Times New Roman" w:hAnsi="Times New Roman" w:cs="Times New Roman"/>
        </w:rPr>
        <w:t xml:space="preserve"> vegetable production system in the state.</w:t>
      </w:r>
    </w:p>
    <w:p w14:paraId="0F1A9F27" w14:textId="4CB73542" w:rsidR="00BF7A23" w:rsidRPr="005F1701" w:rsidRDefault="00BF7A23" w:rsidP="00AE5AD9">
      <w:pPr>
        <w:spacing w:line="240" w:lineRule="auto"/>
        <w:rPr>
          <w:rFonts w:ascii="Times New Roman" w:hAnsi="Times New Roman" w:cs="Times New Roman"/>
          <w:b/>
          <w:bCs/>
        </w:rPr>
      </w:pPr>
      <w:r w:rsidRPr="005F1701">
        <w:rPr>
          <w:rFonts w:ascii="Times New Roman" w:hAnsi="Times New Roman" w:cs="Times New Roman"/>
          <w:b/>
          <w:bCs/>
        </w:rPr>
        <w:t>What was discovered?</w:t>
      </w:r>
    </w:p>
    <w:p w14:paraId="0F9195F0" w14:textId="65F88272" w:rsidR="00305197" w:rsidRPr="00305197" w:rsidRDefault="00305197" w:rsidP="00AE5AD9">
      <w:pPr>
        <w:spacing w:line="240" w:lineRule="auto"/>
        <w:rPr>
          <w:rFonts w:ascii="Times New Roman" w:hAnsi="Times New Roman" w:cs="Times New Roman"/>
        </w:rPr>
      </w:pPr>
      <w:r w:rsidRPr="00305197">
        <w:rPr>
          <w:rFonts w:ascii="Times New Roman" w:hAnsi="Times New Roman" w:cs="Times New Roman"/>
        </w:rPr>
        <w:t>This project demonstrated that recombinase polymerase amplification (RPA), when paired with Whatman FTA cards, is a highly effective and sensitive method for detecting root-knot nematode (</w:t>
      </w:r>
      <w:r w:rsidRPr="000F78E2">
        <w:rPr>
          <w:rFonts w:ascii="Times New Roman" w:hAnsi="Times New Roman" w:cs="Times New Roman"/>
          <w:i/>
          <w:iCs/>
        </w:rPr>
        <w:t>Meloidogyne</w:t>
      </w:r>
      <w:r w:rsidRPr="00305197">
        <w:rPr>
          <w:rFonts w:ascii="Times New Roman" w:hAnsi="Times New Roman" w:cs="Times New Roman"/>
        </w:rPr>
        <w:t xml:space="preserve"> </w:t>
      </w:r>
      <w:r w:rsidR="000F78E2">
        <w:rPr>
          <w:rFonts w:ascii="Times New Roman" w:hAnsi="Times New Roman" w:cs="Times New Roman"/>
        </w:rPr>
        <w:t>spp.</w:t>
      </w:r>
      <w:r w:rsidRPr="00305197">
        <w:rPr>
          <w:rFonts w:ascii="Times New Roman" w:hAnsi="Times New Roman" w:cs="Times New Roman"/>
        </w:rPr>
        <w:t>) directly from tissue. The RPA assay produced accurate results within 20–60 minutes at a constant temperature of 37 °C and showed up to tenfold higher sensitivity than conventional PCR, detecting DNA concentrations as low as 0.0008 ng/µL.</w:t>
      </w:r>
    </w:p>
    <w:p w14:paraId="2E544374" w14:textId="14A40754" w:rsidR="0015046B" w:rsidRPr="000F78E2" w:rsidRDefault="00305197" w:rsidP="00AE5AD9">
      <w:pPr>
        <w:spacing w:line="240" w:lineRule="auto"/>
        <w:rPr>
          <w:rFonts w:ascii="Times New Roman" w:hAnsi="Times New Roman" w:cs="Times New Roman"/>
        </w:rPr>
      </w:pPr>
      <w:r w:rsidRPr="000F78E2">
        <w:rPr>
          <w:rFonts w:ascii="Times New Roman" w:hAnsi="Times New Roman" w:cs="Times New Roman"/>
        </w:rPr>
        <w:t xml:space="preserve">The use of FTA cards allowed safe, easy collection, transport, and storage of DNA without the need for refrigeration, making the workflow practical for field or packinghouse applications. The combination of RPA and lateral-flow strips enabled clear visual detection of results within minutes. These findings confirm that this approach can deliver rapid, field-deployable diagnostics for regulated nematodes and other soilborne pathogens. Ongoing work is adapting this same platform for the detection of </w:t>
      </w:r>
      <w:r w:rsidRPr="000F78E2">
        <w:rPr>
          <w:rFonts w:ascii="Times New Roman" w:hAnsi="Times New Roman" w:cs="Times New Roman"/>
          <w:i/>
          <w:iCs/>
        </w:rPr>
        <w:t xml:space="preserve">Fusarium </w:t>
      </w:r>
      <w:proofErr w:type="spellStart"/>
      <w:r w:rsidRPr="000F78E2">
        <w:rPr>
          <w:rFonts w:ascii="Times New Roman" w:hAnsi="Times New Roman" w:cs="Times New Roman"/>
          <w:i/>
          <w:iCs/>
        </w:rPr>
        <w:t>oxysporum</w:t>
      </w:r>
      <w:proofErr w:type="spellEnd"/>
      <w:r w:rsidRPr="000F78E2">
        <w:rPr>
          <w:rFonts w:ascii="Times New Roman" w:hAnsi="Times New Roman" w:cs="Times New Roman"/>
        </w:rPr>
        <w:t>, broadening its application for soil health and disease management in Ohio vegetable systems.</w:t>
      </w:r>
    </w:p>
    <w:p w14:paraId="13CBF65C" w14:textId="61DD75CF" w:rsidR="00781517" w:rsidRPr="00781517" w:rsidRDefault="00781517" w:rsidP="00781517">
      <w:pPr>
        <w:spacing w:line="240" w:lineRule="auto"/>
        <w:rPr>
          <w:rFonts w:ascii="Times New Roman" w:hAnsi="Times New Roman" w:cs="Times New Roman"/>
        </w:rPr>
      </w:pPr>
      <w:r w:rsidRPr="00781517">
        <w:rPr>
          <w:rFonts w:ascii="Times New Roman" w:hAnsi="Times New Roman" w:cs="Times New Roman"/>
          <w:noProof/>
        </w:rPr>
        <w:lastRenderedPageBreak/>
        <w:drawing>
          <wp:anchor distT="0" distB="0" distL="114300" distR="114300" simplePos="0" relativeHeight="251659264" behindDoc="0" locked="0" layoutInCell="1" allowOverlap="1" wp14:anchorId="4FEEB614" wp14:editId="0DDAB5DD">
            <wp:simplePos x="0" y="0"/>
            <wp:positionH relativeFrom="margin">
              <wp:align>left</wp:align>
            </wp:positionH>
            <wp:positionV relativeFrom="paragraph">
              <wp:posOffset>214630</wp:posOffset>
            </wp:positionV>
            <wp:extent cx="3067050" cy="1602105"/>
            <wp:effectExtent l="0" t="0" r="0" b="0"/>
            <wp:wrapSquare wrapText="bothSides"/>
            <wp:docPr id="1902361902" name="Picture 4" descr="A close-up of a test tu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361902" name="Picture 4" descr="A close-up of a test tub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7050" cy="1602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BF16F" w14:textId="4A3B684F" w:rsidR="00781517" w:rsidRPr="00781517" w:rsidRDefault="00781517" w:rsidP="00781517">
      <w:pPr>
        <w:spacing w:line="240" w:lineRule="auto"/>
        <w:rPr>
          <w:rFonts w:ascii="Times New Roman" w:hAnsi="Times New Roman" w:cs="Times New Roman"/>
        </w:rPr>
      </w:pPr>
      <w:r w:rsidRPr="00781517">
        <w:rPr>
          <w:rFonts w:ascii="Times New Roman" w:hAnsi="Times New Roman" w:cs="Times New Roman"/>
        </w:rPr>
        <w:t>Fig</w:t>
      </w:r>
      <w:r>
        <w:rPr>
          <w:rFonts w:ascii="Times New Roman" w:hAnsi="Times New Roman" w:cs="Times New Roman"/>
        </w:rPr>
        <w:t>ure</w:t>
      </w:r>
      <w:r w:rsidRPr="00781517">
        <w:rPr>
          <w:rFonts w:ascii="Times New Roman" w:hAnsi="Times New Roman" w:cs="Times New Roman"/>
        </w:rPr>
        <w:t> 1.</w:t>
      </w:r>
      <w:r w:rsidR="00A82447">
        <w:rPr>
          <w:rFonts w:ascii="Times New Roman" w:hAnsi="Times New Roman" w:cs="Times New Roman"/>
        </w:rPr>
        <w:t xml:space="preserve"> </w:t>
      </w:r>
      <w:r w:rsidRPr="00781517">
        <w:rPr>
          <w:rFonts w:ascii="Times New Roman" w:hAnsi="Times New Roman" w:cs="Times New Roman"/>
        </w:rPr>
        <w:t>Whatman FTA cards were evaluated for effectiveness in </w:t>
      </w:r>
      <w:r w:rsidRPr="00781517">
        <w:rPr>
          <w:rFonts w:ascii="Times New Roman" w:hAnsi="Times New Roman" w:cs="Times New Roman"/>
          <w:i/>
          <w:iCs/>
        </w:rPr>
        <w:t xml:space="preserve">Meloidogyne </w:t>
      </w:r>
      <w:proofErr w:type="spellStart"/>
      <w:r w:rsidRPr="00781517">
        <w:rPr>
          <w:rFonts w:ascii="Times New Roman" w:hAnsi="Times New Roman" w:cs="Times New Roman"/>
          <w:i/>
          <w:iCs/>
        </w:rPr>
        <w:t>enterolobii</w:t>
      </w:r>
      <w:proofErr w:type="spellEnd"/>
      <w:r w:rsidRPr="00781517">
        <w:rPr>
          <w:rFonts w:ascii="Times New Roman" w:hAnsi="Times New Roman" w:cs="Times New Roman"/>
        </w:rPr>
        <w:t xml:space="preserve"> DNA extraction directly from sweet potato galls. A: Sweet potatoes with visible galls after being washed under tap water for 1 min; B: The galled areas were excised using a scalpel; C: Whatman FTA cards with sweet potato gall tissue placed in the </w:t>
      </w:r>
      <w:proofErr w:type="spellStart"/>
      <w:r w:rsidRPr="00781517">
        <w:rPr>
          <w:rFonts w:ascii="Times New Roman" w:hAnsi="Times New Roman" w:cs="Times New Roman"/>
        </w:rPr>
        <w:t>centre</w:t>
      </w:r>
      <w:proofErr w:type="spellEnd"/>
      <w:r w:rsidRPr="00781517">
        <w:rPr>
          <w:rFonts w:ascii="Times New Roman" w:hAnsi="Times New Roman" w:cs="Times New Roman"/>
        </w:rPr>
        <w:t xml:space="preserve"> and hammered for 15 s. After 1 h, the solid plant tissue was removed; D: FTA paper cut into small pieces and placed into 1.5 ml tubes; E: Tubes containing FTA paper being used in PCR reactions</w:t>
      </w:r>
      <w:r>
        <w:rPr>
          <w:rFonts w:ascii="Times New Roman" w:hAnsi="Times New Roman" w:cs="Times New Roman"/>
        </w:rPr>
        <w:t xml:space="preserve"> (Adapted </w:t>
      </w:r>
      <w:r w:rsidR="00A82447">
        <w:rPr>
          <w:rFonts w:ascii="Times New Roman" w:hAnsi="Times New Roman" w:cs="Times New Roman"/>
        </w:rPr>
        <w:t xml:space="preserve">from </w:t>
      </w:r>
      <w:r w:rsidR="00A82447" w:rsidRPr="00A82447">
        <w:rPr>
          <w:rFonts w:ascii="Times New Roman" w:hAnsi="Times New Roman" w:cs="Times New Roman"/>
        </w:rPr>
        <w:t xml:space="preserve">Sanabria-Velazquez, A., Chowdhury, I.A., Sit, T.L. and Gorny, A.M., 2025. Recombinase polymerase amplification combined with FTA cards for detection of </w:t>
      </w:r>
      <w:r w:rsidR="00A82447" w:rsidRPr="00A82447">
        <w:rPr>
          <w:rFonts w:ascii="Times New Roman" w:hAnsi="Times New Roman" w:cs="Times New Roman"/>
          <w:i/>
          <w:iCs/>
        </w:rPr>
        <w:t xml:space="preserve">Meloidogyne </w:t>
      </w:r>
      <w:proofErr w:type="spellStart"/>
      <w:r w:rsidR="00A82447" w:rsidRPr="00A82447">
        <w:rPr>
          <w:rFonts w:ascii="Times New Roman" w:hAnsi="Times New Roman" w:cs="Times New Roman"/>
          <w:i/>
          <w:iCs/>
        </w:rPr>
        <w:t>enterolobii</w:t>
      </w:r>
      <w:proofErr w:type="spellEnd"/>
      <w:r w:rsidR="00A82447" w:rsidRPr="00A82447">
        <w:rPr>
          <w:rFonts w:ascii="Times New Roman" w:hAnsi="Times New Roman" w:cs="Times New Roman"/>
        </w:rPr>
        <w:t xml:space="preserve"> on sweet potato. Nematology, 27(7), pp.719-727.</w:t>
      </w:r>
      <w:r w:rsidR="00A82447">
        <w:rPr>
          <w:rFonts w:ascii="Times New Roman" w:hAnsi="Times New Roman" w:cs="Times New Roman"/>
        </w:rPr>
        <w:t>)</w:t>
      </w:r>
    </w:p>
    <w:p w14:paraId="19E1599E" w14:textId="0BCB8EB4" w:rsidR="00002A97" w:rsidRPr="005F1701" w:rsidRDefault="00002A97" w:rsidP="00AE5AD9">
      <w:pPr>
        <w:spacing w:line="240" w:lineRule="auto"/>
        <w:rPr>
          <w:rFonts w:ascii="Times New Roman" w:hAnsi="Times New Roman" w:cs="Times New Roman"/>
        </w:rPr>
      </w:pPr>
    </w:p>
    <w:p w14:paraId="51D139A2" w14:textId="1B2E3E4C" w:rsidR="00E67187" w:rsidRPr="00E67187" w:rsidRDefault="008507E5" w:rsidP="00AE5AD9">
      <w:pPr>
        <w:spacing w:line="240" w:lineRule="auto"/>
        <w:rPr>
          <w:rFonts w:ascii="Times New Roman" w:hAnsi="Times New Roman" w:cs="Times New Roman"/>
          <w:noProof/>
        </w:rPr>
      </w:pPr>
      <w:r w:rsidRPr="00E67187">
        <w:rPr>
          <w:rFonts w:ascii="Times New Roman" w:hAnsi="Times New Roman" w:cs="Times New Roman"/>
          <w:noProof/>
        </w:rPr>
        <w:drawing>
          <wp:anchor distT="0" distB="0" distL="114300" distR="114300" simplePos="0" relativeHeight="251658240" behindDoc="0" locked="0" layoutInCell="1" allowOverlap="1" wp14:anchorId="64ACBCBB" wp14:editId="2FD4B2C3">
            <wp:simplePos x="0" y="0"/>
            <wp:positionH relativeFrom="margin">
              <wp:align>left</wp:align>
            </wp:positionH>
            <wp:positionV relativeFrom="paragraph">
              <wp:posOffset>165100</wp:posOffset>
            </wp:positionV>
            <wp:extent cx="2889250" cy="3085465"/>
            <wp:effectExtent l="0" t="0" r="6350" b="635"/>
            <wp:wrapSquare wrapText="bothSides"/>
            <wp:docPr id="17165589" name="Picture 2" descr="A close-up of a t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5589" name="Picture 2" descr="A close-up of a tes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9250" cy="3085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06EAE3" w14:textId="58364FC8" w:rsidR="00931087" w:rsidRDefault="00931087" w:rsidP="00AE5AD9">
      <w:pPr>
        <w:spacing w:after="0" w:line="240" w:lineRule="auto"/>
        <w:rPr>
          <w:rFonts w:ascii="Times New Roman" w:hAnsi="Times New Roman" w:cs="Times New Roman"/>
        </w:rPr>
      </w:pPr>
      <w:r>
        <w:rPr>
          <w:rFonts w:ascii="Times New Roman" w:hAnsi="Times New Roman" w:cs="Times New Roman"/>
          <w:noProof/>
        </w:rPr>
        <w:t>F</w:t>
      </w:r>
      <w:r w:rsidRPr="00931087">
        <w:rPr>
          <w:rFonts w:ascii="Times New Roman" w:hAnsi="Times New Roman" w:cs="Times New Roman"/>
          <w:noProof/>
        </w:rPr>
        <w:t>ig</w:t>
      </w:r>
      <w:r w:rsidR="00781517">
        <w:rPr>
          <w:rFonts w:ascii="Times New Roman" w:hAnsi="Times New Roman" w:cs="Times New Roman"/>
          <w:noProof/>
        </w:rPr>
        <w:t>ure</w:t>
      </w:r>
      <w:r w:rsidRPr="00931087">
        <w:rPr>
          <w:rFonts w:ascii="Times New Roman" w:hAnsi="Times New Roman" w:cs="Times New Roman"/>
          <w:noProof/>
        </w:rPr>
        <w:t> 2.</w:t>
      </w:r>
      <w:r>
        <w:rPr>
          <w:rFonts w:ascii="Times New Roman" w:hAnsi="Times New Roman" w:cs="Times New Roman"/>
          <w:noProof/>
        </w:rPr>
        <w:t xml:space="preserve"> </w:t>
      </w:r>
      <w:r w:rsidRPr="00931087">
        <w:rPr>
          <w:rFonts w:ascii="Times New Roman" w:hAnsi="Times New Roman" w:cs="Times New Roman"/>
          <w:noProof/>
        </w:rPr>
        <w:t>Comparison of PCR and RPA assays for </w:t>
      </w:r>
      <w:r w:rsidRPr="00931087">
        <w:rPr>
          <w:rFonts w:ascii="Times New Roman" w:hAnsi="Times New Roman" w:cs="Times New Roman"/>
          <w:i/>
          <w:iCs/>
          <w:noProof/>
        </w:rPr>
        <w:t>Meloidogyne enterolobii</w:t>
      </w:r>
      <w:r w:rsidRPr="00931087">
        <w:rPr>
          <w:rFonts w:ascii="Times New Roman" w:hAnsi="Times New Roman" w:cs="Times New Roman"/>
          <w:noProof/>
        </w:rPr>
        <w:t> detection. The experiment was repeated over two independent runs and results were identical. Therefore, only one experimental set is presented here. A: Gel electrophoresis analysis of amplification products from PCR (lanes 1-7) and RPA (lanes 1-7). Lane 1: </w:t>
      </w:r>
      <w:r w:rsidRPr="00931087">
        <w:rPr>
          <w:rFonts w:ascii="Times New Roman" w:hAnsi="Times New Roman" w:cs="Times New Roman"/>
          <w:i/>
          <w:iCs/>
          <w:noProof/>
        </w:rPr>
        <w:t>M. enterolobii</w:t>
      </w:r>
      <w:r w:rsidRPr="00931087">
        <w:rPr>
          <w:rFonts w:ascii="Times New Roman" w:hAnsi="Times New Roman" w:cs="Times New Roman"/>
          <w:noProof/>
        </w:rPr>
        <w:t> DNA from pure cultures, Lane 2: </w:t>
      </w:r>
      <w:r w:rsidRPr="00931087">
        <w:rPr>
          <w:rFonts w:ascii="Times New Roman" w:hAnsi="Times New Roman" w:cs="Times New Roman"/>
          <w:i/>
          <w:iCs/>
          <w:noProof/>
        </w:rPr>
        <w:t>M. enterolobii</w:t>
      </w:r>
      <w:r w:rsidRPr="00931087">
        <w:rPr>
          <w:rFonts w:ascii="Times New Roman" w:hAnsi="Times New Roman" w:cs="Times New Roman"/>
          <w:noProof/>
        </w:rPr>
        <w:t> DNA from Whatman FTA card, Lane 3: </w:t>
      </w:r>
      <w:r w:rsidRPr="00931087">
        <w:rPr>
          <w:rFonts w:ascii="Times New Roman" w:hAnsi="Times New Roman" w:cs="Times New Roman"/>
          <w:i/>
          <w:iCs/>
          <w:noProof/>
        </w:rPr>
        <w:t>M. arenaria</w:t>
      </w:r>
      <w:r w:rsidRPr="00931087">
        <w:rPr>
          <w:rFonts w:ascii="Times New Roman" w:hAnsi="Times New Roman" w:cs="Times New Roman"/>
          <w:noProof/>
        </w:rPr>
        <w:t>, Lane 4: </w:t>
      </w:r>
      <w:r w:rsidRPr="00931087">
        <w:rPr>
          <w:rFonts w:ascii="Times New Roman" w:hAnsi="Times New Roman" w:cs="Times New Roman"/>
          <w:i/>
          <w:iCs/>
          <w:noProof/>
        </w:rPr>
        <w:t>M. hapla</w:t>
      </w:r>
      <w:r w:rsidRPr="00931087">
        <w:rPr>
          <w:rFonts w:ascii="Times New Roman" w:hAnsi="Times New Roman" w:cs="Times New Roman"/>
          <w:noProof/>
        </w:rPr>
        <w:t>, Lane 5: </w:t>
      </w:r>
      <w:r w:rsidRPr="00931087">
        <w:rPr>
          <w:rFonts w:ascii="Times New Roman" w:hAnsi="Times New Roman" w:cs="Times New Roman"/>
          <w:i/>
          <w:iCs/>
          <w:noProof/>
        </w:rPr>
        <w:t>M. javanica</w:t>
      </w:r>
      <w:r w:rsidRPr="00931087">
        <w:rPr>
          <w:rFonts w:ascii="Times New Roman" w:hAnsi="Times New Roman" w:cs="Times New Roman"/>
          <w:noProof/>
        </w:rPr>
        <w:t>, Lane 6: </w:t>
      </w:r>
      <w:r w:rsidRPr="00931087">
        <w:rPr>
          <w:rFonts w:ascii="Times New Roman" w:hAnsi="Times New Roman" w:cs="Times New Roman"/>
          <w:i/>
          <w:iCs/>
          <w:noProof/>
        </w:rPr>
        <w:t>M. incognita</w:t>
      </w:r>
      <w:r w:rsidRPr="00931087">
        <w:rPr>
          <w:rFonts w:ascii="Times New Roman" w:hAnsi="Times New Roman" w:cs="Times New Roman"/>
          <w:noProof/>
        </w:rPr>
        <w:t>, Lane 7: negative control containing only autoclaved double distilled water. L: Ladder with size markers (100 bp to 1500 bp). The expected band size for the target gene is approximately 300 bp. Clear bands are visible in PCR lanes 1 and 2, and RPA lanes 1 and 2, indicating successful amplification of the target DNA; B: Lateral flow assay (LFA) strips used to visualise the amplification products from PCR (lanes 1-7) and RPA (lanes 1-7) following the same sample order. The appearance of a visible test line below the bold red control line indicates the presence of the target DNA amplicon. Consistent with the gel electrophoresis results, clear test lines are observed in PCR and RPA lanes 1 and 2, confirming successful detection of the target DNA.</w:t>
      </w:r>
      <w:r w:rsidR="00A82447">
        <w:rPr>
          <w:rFonts w:ascii="Times New Roman" w:hAnsi="Times New Roman" w:cs="Times New Roman"/>
          <w:noProof/>
        </w:rPr>
        <w:t xml:space="preserve"> </w:t>
      </w:r>
      <w:r w:rsidR="00A82447">
        <w:rPr>
          <w:rFonts w:ascii="Times New Roman" w:hAnsi="Times New Roman" w:cs="Times New Roman"/>
        </w:rPr>
        <w:t xml:space="preserve">(Adapted from </w:t>
      </w:r>
      <w:r w:rsidR="00A82447" w:rsidRPr="00A82447">
        <w:rPr>
          <w:rFonts w:ascii="Times New Roman" w:hAnsi="Times New Roman" w:cs="Times New Roman"/>
        </w:rPr>
        <w:t xml:space="preserve">Sanabria-Velazquez, A., Chowdhury, I.A., Sit, T.L. and Gorny, A.M., 2025. Recombinase polymerase amplification combined with FTA cards for detection of </w:t>
      </w:r>
      <w:r w:rsidR="00A82447" w:rsidRPr="00A82447">
        <w:rPr>
          <w:rFonts w:ascii="Times New Roman" w:hAnsi="Times New Roman" w:cs="Times New Roman"/>
          <w:i/>
          <w:iCs/>
        </w:rPr>
        <w:t xml:space="preserve">Meloidogyne </w:t>
      </w:r>
      <w:proofErr w:type="spellStart"/>
      <w:r w:rsidR="00A82447" w:rsidRPr="00A82447">
        <w:rPr>
          <w:rFonts w:ascii="Times New Roman" w:hAnsi="Times New Roman" w:cs="Times New Roman"/>
          <w:i/>
          <w:iCs/>
        </w:rPr>
        <w:t>enterolobii</w:t>
      </w:r>
      <w:proofErr w:type="spellEnd"/>
      <w:r w:rsidR="00A82447" w:rsidRPr="00A82447">
        <w:rPr>
          <w:rFonts w:ascii="Times New Roman" w:hAnsi="Times New Roman" w:cs="Times New Roman"/>
        </w:rPr>
        <w:t xml:space="preserve"> on sweet potato. Nematology, 27(7), pp.719-727.</w:t>
      </w:r>
      <w:r w:rsidR="00A82447">
        <w:rPr>
          <w:rFonts w:ascii="Times New Roman" w:hAnsi="Times New Roman" w:cs="Times New Roman"/>
        </w:rPr>
        <w:t>)</w:t>
      </w:r>
    </w:p>
    <w:p w14:paraId="200513FE" w14:textId="77777777" w:rsidR="00A82447" w:rsidRDefault="00A82447" w:rsidP="00AE5AD9">
      <w:pPr>
        <w:spacing w:after="0" w:line="240" w:lineRule="auto"/>
        <w:rPr>
          <w:rFonts w:ascii="Times New Roman" w:hAnsi="Times New Roman" w:cs="Times New Roman"/>
          <w:noProof/>
        </w:rPr>
      </w:pPr>
    </w:p>
    <w:p w14:paraId="12877AC8" w14:textId="77777777" w:rsidR="00466ECB" w:rsidRDefault="00466ECB" w:rsidP="00AE5AD9">
      <w:pPr>
        <w:spacing w:after="0" w:line="240" w:lineRule="auto"/>
        <w:rPr>
          <w:rFonts w:ascii="Times New Roman" w:hAnsi="Times New Roman" w:cs="Times New Roman"/>
          <w:noProof/>
        </w:rPr>
      </w:pPr>
    </w:p>
    <w:p w14:paraId="15547972" w14:textId="59C4FD18" w:rsidR="00466ECB" w:rsidRPr="00931087" w:rsidRDefault="00312B1E" w:rsidP="00AE5AD9">
      <w:pPr>
        <w:spacing w:after="0" w:line="240" w:lineRule="auto"/>
        <w:rPr>
          <w:rFonts w:ascii="Times New Roman" w:hAnsi="Times New Roman" w:cs="Times New Roman"/>
          <w:noProof/>
        </w:rPr>
      </w:pPr>
      <w:r>
        <w:rPr>
          <w:noProof/>
        </w:rPr>
        <w:lastRenderedPageBreak/>
        <w:drawing>
          <wp:inline distT="0" distB="0" distL="0" distR="0" wp14:anchorId="3B350639" wp14:editId="3311C335">
            <wp:extent cx="5718810" cy="5290205"/>
            <wp:effectExtent l="0" t="0" r="0" b="5715"/>
            <wp:docPr id="1629307531" name="Picture 1" descr="A yellow plastic container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307531" name="Picture 1" descr="A yellow plastic container with a black background&#10;&#10;AI-generated content may be incorrect."/>
                    <pic:cNvPicPr>
                      <a:picLocks noChangeAspect="1" noChangeArrowheads="1"/>
                    </pic:cNvPicPr>
                  </pic:nvPicPr>
                  <pic:blipFill rotWithShape="1">
                    <a:blip r:embed="rId9">
                      <a:extLst>
                        <a:ext uri="{28A0092B-C50C-407E-A947-70E740481C1C}">
                          <a14:useLocalDpi xmlns:a14="http://schemas.microsoft.com/office/drawing/2010/main" val="0"/>
                        </a:ext>
                      </a:extLst>
                    </a:blip>
                    <a:srcRect l="27692" t="10927" r="42372" b="52192"/>
                    <a:stretch>
                      <a:fillRect/>
                    </a:stretch>
                  </pic:blipFill>
                  <pic:spPr bwMode="auto">
                    <a:xfrm>
                      <a:off x="0" y="0"/>
                      <a:ext cx="5745899" cy="5315264"/>
                    </a:xfrm>
                    <a:prstGeom prst="rect">
                      <a:avLst/>
                    </a:prstGeom>
                    <a:noFill/>
                    <a:ln>
                      <a:noFill/>
                    </a:ln>
                    <a:extLst>
                      <a:ext uri="{53640926-AAD7-44D8-BBD7-CCE9431645EC}">
                        <a14:shadowObscured xmlns:a14="http://schemas.microsoft.com/office/drawing/2010/main"/>
                      </a:ext>
                    </a:extLst>
                  </pic:spPr>
                </pic:pic>
              </a:graphicData>
            </a:graphic>
          </wp:inline>
        </w:drawing>
      </w:r>
      <w:r w:rsidR="003B19AC" w:rsidRPr="003B19AC">
        <w:rPr>
          <w:rFonts w:ascii="Times New Roman" w:hAnsi="Times New Roman" w:cs="Times New Roman"/>
          <w:noProof/>
        </w:rPr>
        <w:t xml:space="preserve">Figure </w:t>
      </w:r>
      <w:r w:rsidR="003B19AC">
        <w:rPr>
          <w:rFonts w:ascii="Times New Roman" w:hAnsi="Times New Roman" w:cs="Times New Roman"/>
          <w:noProof/>
        </w:rPr>
        <w:t>3</w:t>
      </w:r>
      <w:r w:rsidR="003B19AC" w:rsidRPr="003B19AC">
        <w:rPr>
          <w:rFonts w:ascii="Times New Roman" w:hAnsi="Times New Roman" w:cs="Times New Roman"/>
          <w:noProof/>
        </w:rPr>
        <w:t xml:space="preserve">. </w:t>
      </w:r>
      <w:r w:rsidR="003B19AC">
        <w:rPr>
          <w:rFonts w:ascii="Times New Roman" w:hAnsi="Times New Roman" w:cs="Times New Roman"/>
          <w:noProof/>
        </w:rPr>
        <w:t xml:space="preserve">Ongoing trials for </w:t>
      </w:r>
      <w:r w:rsidR="003B19AC" w:rsidRPr="003B19AC">
        <w:rPr>
          <w:rFonts w:ascii="Times New Roman" w:hAnsi="Times New Roman" w:cs="Times New Roman"/>
          <w:i/>
          <w:iCs/>
          <w:noProof/>
        </w:rPr>
        <w:t xml:space="preserve">Fusarium </w:t>
      </w:r>
      <w:r w:rsidR="003B19AC">
        <w:rPr>
          <w:rFonts w:ascii="Times New Roman" w:hAnsi="Times New Roman" w:cs="Times New Roman"/>
          <w:noProof/>
        </w:rPr>
        <w:t xml:space="preserve">spp. </w:t>
      </w:r>
      <w:r w:rsidR="003B19AC" w:rsidRPr="003B19AC">
        <w:rPr>
          <w:rFonts w:ascii="Times New Roman" w:hAnsi="Times New Roman" w:cs="Times New Roman"/>
          <w:noProof/>
        </w:rPr>
        <w:t>Gel electrophoresis of recombinase polymerase amplification (RPA) products for the detection of Fusarium sp</w:t>
      </w:r>
      <w:r w:rsidR="003B19AC">
        <w:rPr>
          <w:rFonts w:ascii="Times New Roman" w:hAnsi="Times New Roman" w:cs="Times New Roman"/>
          <w:noProof/>
        </w:rPr>
        <w:t>p.</w:t>
      </w:r>
      <w:r w:rsidR="003B19AC" w:rsidRPr="003B19AC">
        <w:rPr>
          <w:rFonts w:ascii="Times New Roman" w:hAnsi="Times New Roman" w:cs="Times New Roman"/>
          <w:noProof/>
        </w:rPr>
        <w:t xml:space="preserve"> Lane 1: DNA ladder (100 bp); Lane 2:</w:t>
      </w:r>
      <w:r>
        <w:rPr>
          <w:rFonts w:ascii="Times New Roman" w:hAnsi="Times New Roman" w:cs="Times New Roman"/>
          <w:noProof/>
        </w:rPr>
        <w:t xml:space="preserve"> </w:t>
      </w:r>
      <w:r w:rsidRPr="003B19AC">
        <w:rPr>
          <w:rFonts w:ascii="Times New Roman" w:hAnsi="Times New Roman" w:cs="Times New Roman"/>
          <w:i/>
          <w:iCs/>
          <w:noProof/>
        </w:rPr>
        <w:t>Fusarium</w:t>
      </w:r>
      <w:r w:rsidRPr="003B19AC">
        <w:rPr>
          <w:rFonts w:ascii="Times New Roman" w:hAnsi="Times New Roman" w:cs="Times New Roman"/>
          <w:noProof/>
        </w:rPr>
        <w:t xml:space="preserve"> sp. </w:t>
      </w:r>
      <w:r w:rsidR="003B19AC" w:rsidRPr="003B19AC">
        <w:rPr>
          <w:rFonts w:ascii="Times New Roman" w:hAnsi="Times New Roman" w:cs="Times New Roman"/>
          <w:noProof/>
        </w:rPr>
        <w:t xml:space="preserve">DNA; Lane 3: </w:t>
      </w:r>
      <w:r w:rsidR="003B19AC" w:rsidRPr="003B19AC">
        <w:rPr>
          <w:rFonts w:ascii="Times New Roman" w:hAnsi="Times New Roman" w:cs="Times New Roman"/>
          <w:i/>
          <w:iCs/>
          <w:noProof/>
        </w:rPr>
        <w:t>Fusarium</w:t>
      </w:r>
      <w:r w:rsidR="003B19AC" w:rsidRPr="003B19AC">
        <w:rPr>
          <w:rFonts w:ascii="Times New Roman" w:hAnsi="Times New Roman" w:cs="Times New Roman"/>
          <w:noProof/>
        </w:rPr>
        <w:t xml:space="preserve"> sp. DNA; Lane</w:t>
      </w:r>
      <w:r w:rsidR="00143994">
        <w:rPr>
          <w:rFonts w:ascii="Times New Roman" w:hAnsi="Times New Roman" w:cs="Times New Roman"/>
          <w:noProof/>
        </w:rPr>
        <w:t>s</w:t>
      </w:r>
      <w:r w:rsidR="003B19AC" w:rsidRPr="003B19AC">
        <w:rPr>
          <w:rFonts w:ascii="Times New Roman" w:hAnsi="Times New Roman" w:cs="Times New Roman"/>
          <w:noProof/>
        </w:rPr>
        <w:t xml:space="preserve"> 4</w:t>
      </w:r>
      <w:r w:rsidR="00143994" w:rsidRPr="003B19AC">
        <w:rPr>
          <w:rFonts w:ascii="Times New Roman" w:hAnsi="Times New Roman" w:cs="Times New Roman"/>
          <w:noProof/>
        </w:rPr>
        <w:t>–5</w:t>
      </w:r>
      <w:r w:rsidR="003B19AC" w:rsidRPr="003B19AC">
        <w:rPr>
          <w:rFonts w:ascii="Times New Roman" w:hAnsi="Times New Roman" w:cs="Times New Roman"/>
          <w:noProof/>
        </w:rPr>
        <w:t xml:space="preserve">: water (negative control); Lane </w:t>
      </w:r>
      <w:r w:rsidR="0029795B">
        <w:rPr>
          <w:rFonts w:ascii="Times New Roman" w:hAnsi="Times New Roman" w:cs="Times New Roman"/>
          <w:noProof/>
        </w:rPr>
        <w:t>6</w:t>
      </w:r>
      <w:r w:rsidR="003B19AC" w:rsidRPr="003B19AC">
        <w:rPr>
          <w:rFonts w:ascii="Times New Roman" w:hAnsi="Times New Roman" w:cs="Times New Roman"/>
          <w:noProof/>
        </w:rPr>
        <w:t>: DNA ladder.</w:t>
      </w:r>
    </w:p>
    <w:p w14:paraId="06F151AA" w14:textId="77777777" w:rsidR="00F448BF" w:rsidRPr="005F1701" w:rsidRDefault="00F448BF" w:rsidP="00AE5AD9">
      <w:pPr>
        <w:spacing w:line="240" w:lineRule="auto"/>
        <w:rPr>
          <w:rFonts w:ascii="Times New Roman" w:hAnsi="Times New Roman" w:cs="Times New Roman"/>
          <w:noProof/>
        </w:rPr>
      </w:pPr>
    </w:p>
    <w:sectPr w:rsidR="00F448BF" w:rsidRPr="005F17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E795A"/>
    <w:multiLevelType w:val="hybridMultilevel"/>
    <w:tmpl w:val="8FD6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E42FBA"/>
    <w:multiLevelType w:val="hybridMultilevel"/>
    <w:tmpl w:val="59DE2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F64F07"/>
    <w:multiLevelType w:val="multilevel"/>
    <w:tmpl w:val="0E04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86218C"/>
    <w:multiLevelType w:val="multilevel"/>
    <w:tmpl w:val="41363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524121"/>
    <w:multiLevelType w:val="hybridMultilevel"/>
    <w:tmpl w:val="7FEC0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1913C3"/>
    <w:multiLevelType w:val="hybridMultilevel"/>
    <w:tmpl w:val="9CBA0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198365">
    <w:abstractNumId w:val="4"/>
  </w:num>
  <w:num w:numId="2" w16cid:durableId="1992254031">
    <w:abstractNumId w:val="3"/>
  </w:num>
  <w:num w:numId="3" w16cid:durableId="1147747911">
    <w:abstractNumId w:val="2"/>
  </w:num>
  <w:num w:numId="4" w16cid:durableId="1033459197">
    <w:abstractNumId w:val="0"/>
  </w:num>
  <w:num w:numId="5" w16cid:durableId="1547333558">
    <w:abstractNumId w:val="5"/>
  </w:num>
  <w:num w:numId="6" w16cid:durableId="1397318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A23"/>
    <w:rsid w:val="00002A97"/>
    <w:rsid w:val="00087F32"/>
    <w:rsid w:val="000F78E2"/>
    <w:rsid w:val="00103A7D"/>
    <w:rsid w:val="00143994"/>
    <w:rsid w:val="0015046B"/>
    <w:rsid w:val="001F0B45"/>
    <w:rsid w:val="0029540E"/>
    <w:rsid w:val="0029795B"/>
    <w:rsid w:val="002B30B3"/>
    <w:rsid w:val="00305197"/>
    <w:rsid w:val="00312B1E"/>
    <w:rsid w:val="003342C1"/>
    <w:rsid w:val="003502DF"/>
    <w:rsid w:val="0035640C"/>
    <w:rsid w:val="003B19AC"/>
    <w:rsid w:val="0041721E"/>
    <w:rsid w:val="00466ECB"/>
    <w:rsid w:val="004A4EE4"/>
    <w:rsid w:val="00542024"/>
    <w:rsid w:val="005B6048"/>
    <w:rsid w:val="005F1701"/>
    <w:rsid w:val="00606772"/>
    <w:rsid w:val="006349CA"/>
    <w:rsid w:val="00696FF5"/>
    <w:rsid w:val="006B409E"/>
    <w:rsid w:val="006C7169"/>
    <w:rsid w:val="00727BD5"/>
    <w:rsid w:val="00750D29"/>
    <w:rsid w:val="007650E2"/>
    <w:rsid w:val="00781517"/>
    <w:rsid w:val="007B7080"/>
    <w:rsid w:val="007D3844"/>
    <w:rsid w:val="007E7A2D"/>
    <w:rsid w:val="007F4B68"/>
    <w:rsid w:val="008507E5"/>
    <w:rsid w:val="008770D9"/>
    <w:rsid w:val="008972AF"/>
    <w:rsid w:val="0091756C"/>
    <w:rsid w:val="00931087"/>
    <w:rsid w:val="009522D3"/>
    <w:rsid w:val="0097575E"/>
    <w:rsid w:val="009C0857"/>
    <w:rsid w:val="009D0020"/>
    <w:rsid w:val="00A054EF"/>
    <w:rsid w:val="00A515BF"/>
    <w:rsid w:val="00A546ED"/>
    <w:rsid w:val="00A82447"/>
    <w:rsid w:val="00AE5AD9"/>
    <w:rsid w:val="00AF033F"/>
    <w:rsid w:val="00AF5947"/>
    <w:rsid w:val="00BD278D"/>
    <w:rsid w:val="00BF7A23"/>
    <w:rsid w:val="00C526B5"/>
    <w:rsid w:val="00CA1F10"/>
    <w:rsid w:val="00CD1F36"/>
    <w:rsid w:val="00CD529C"/>
    <w:rsid w:val="00CD61D4"/>
    <w:rsid w:val="00CE50C0"/>
    <w:rsid w:val="00CF79F9"/>
    <w:rsid w:val="00D40A96"/>
    <w:rsid w:val="00DD1354"/>
    <w:rsid w:val="00DE1637"/>
    <w:rsid w:val="00DF01EC"/>
    <w:rsid w:val="00DF0804"/>
    <w:rsid w:val="00E67187"/>
    <w:rsid w:val="00EC072A"/>
    <w:rsid w:val="00ED70F3"/>
    <w:rsid w:val="00F448BF"/>
    <w:rsid w:val="00FD2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EB62"/>
  <w15:chartTrackingRefBased/>
  <w15:docId w15:val="{15782EF9-40F4-461F-819E-FC2E23A8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A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7A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A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A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A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A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A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A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A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A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7A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A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A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A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A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A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A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A23"/>
    <w:rPr>
      <w:rFonts w:eastAsiaTheme="majorEastAsia" w:cstheme="majorBidi"/>
      <w:color w:val="272727" w:themeColor="text1" w:themeTint="D8"/>
    </w:rPr>
  </w:style>
  <w:style w:type="paragraph" w:styleId="Title">
    <w:name w:val="Title"/>
    <w:basedOn w:val="Normal"/>
    <w:next w:val="Normal"/>
    <w:link w:val="TitleChar"/>
    <w:uiPriority w:val="10"/>
    <w:qFormat/>
    <w:rsid w:val="00BF7A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A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A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A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A23"/>
    <w:pPr>
      <w:spacing w:before="160"/>
      <w:jc w:val="center"/>
    </w:pPr>
    <w:rPr>
      <w:i/>
      <w:iCs/>
      <w:color w:val="404040" w:themeColor="text1" w:themeTint="BF"/>
    </w:rPr>
  </w:style>
  <w:style w:type="character" w:customStyle="1" w:styleId="QuoteChar">
    <w:name w:val="Quote Char"/>
    <w:basedOn w:val="DefaultParagraphFont"/>
    <w:link w:val="Quote"/>
    <w:uiPriority w:val="29"/>
    <w:rsid w:val="00BF7A23"/>
    <w:rPr>
      <w:i/>
      <w:iCs/>
      <w:color w:val="404040" w:themeColor="text1" w:themeTint="BF"/>
    </w:rPr>
  </w:style>
  <w:style w:type="paragraph" w:styleId="ListParagraph">
    <w:name w:val="List Paragraph"/>
    <w:basedOn w:val="Normal"/>
    <w:uiPriority w:val="34"/>
    <w:qFormat/>
    <w:rsid w:val="00BF7A23"/>
    <w:pPr>
      <w:ind w:left="720"/>
      <w:contextualSpacing/>
    </w:pPr>
  </w:style>
  <w:style w:type="character" w:styleId="IntenseEmphasis">
    <w:name w:val="Intense Emphasis"/>
    <w:basedOn w:val="DefaultParagraphFont"/>
    <w:uiPriority w:val="21"/>
    <w:qFormat/>
    <w:rsid w:val="00BF7A23"/>
    <w:rPr>
      <w:i/>
      <w:iCs/>
      <w:color w:val="0F4761" w:themeColor="accent1" w:themeShade="BF"/>
    </w:rPr>
  </w:style>
  <w:style w:type="paragraph" w:styleId="IntenseQuote">
    <w:name w:val="Intense Quote"/>
    <w:basedOn w:val="Normal"/>
    <w:next w:val="Normal"/>
    <w:link w:val="IntenseQuoteChar"/>
    <w:uiPriority w:val="30"/>
    <w:qFormat/>
    <w:rsid w:val="00BF7A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A23"/>
    <w:rPr>
      <w:i/>
      <w:iCs/>
      <w:color w:val="0F4761" w:themeColor="accent1" w:themeShade="BF"/>
    </w:rPr>
  </w:style>
  <w:style w:type="character" w:styleId="IntenseReference">
    <w:name w:val="Intense Reference"/>
    <w:basedOn w:val="DefaultParagraphFont"/>
    <w:uiPriority w:val="32"/>
    <w:qFormat/>
    <w:rsid w:val="00BF7A23"/>
    <w:rPr>
      <w:b/>
      <w:bCs/>
      <w:smallCaps/>
      <w:color w:val="0F4761" w:themeColor="accent1" w:themeShade="BF"/>
      <w:spacing w:val="5"/>
    </w:rPr>
  </w:style>
  <w:style w:type="paragraph" w:styleId="BodyText">
    <w:name w:val="Body Text"/>
    <w:basedOn w:val="Normal"/>
    <w:link w:val="BodyTextChar"/>
    <w:uiPriority w:val="1"/>
    <w:qFormat/>
    <w:rsid w:val="00BF7A23"/>
    <w:pPr>
      <w:widowControl w:val="0"/>
      <w:autoSpaceDE w:val="0"/>
      <w:autoSpaceDN w:val="0"/>
      <w:spacing w:after="0" w:line="240" w:lineRule="auto"/>
    </w:pPr>
    <w:rPr>
      <w:rFonts w:ascii="Calibri" w:eastAsia="Calibri" w:hAnsi="Calibri" w:cs="Calibri"/>
      <w:kern w:val="0"/>
      <w:sz w:val="20"/>
      <w:szCs w:val="20"/>
      <w14:ligatures w14:val="none"/>
    </w:rPr>
  </w:style>
  <w:style w:type="character" w:customStyle="1" w:styleId="BodyTextChar">
    <w:name w:val="Body Text Char"/>
    <w:basedOn w:val="DefaultParagraphFont"/>
    <w:link w:val="BodyText"/>
    <w:uiPriority w:val="1"/>
    <w:rsid w:val="00BF7A23"/>
    <w:rPr>
      <w:rFonts w:ascii="Calibri" w:eastAsia="Calibri" w:hAnsi="Calibri" w:cs="Calibri"/>
      <w:kern w:val="0"/>
      <w:sz w:val="20"/>
      <w:szCs w:val="20"/>
      <w14:ligatures w14:val="none"/>
    </w:rPr>
  </w:style>
  <w:style w:type="character" w:styleId="Hyperlink">
    <w:name w:val="Hyperlink"/>
    <w:basedOn w:val="DefaultParagraphFont"/>
    <w:uiPriority w:val="99"/>
    <w:unhideWhenUsed/>
    <w:rsid w:val="00BF7A23"/>
    <w:rPr>
      <w:color w:val="467886" w:themeColor="hyperlink"/>
      <w:u w:val="single"/>
    </w:rPr>
  </w:style>
  <w:style w:type="character" w:styleId="UnresolvedMention">
    <w:name w:val="Unresolved Mention"/>
    <w:basedOn w:val="DefaultParagraphFont"/>
    <w:uiPriority w:val="99"/>
    <w:semiHidden/>
    <w:unhideWhenUsed/>
    <w:rsid w:val="00150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1960">
      <w:bodyDiv w:val="1"/>
      <w:marLeft w:val="0"/>
      <w:marRight w:val="0"/>
      <w:marTop w:val="0"/>
      <w:marBottom w:val="0"/>
      <w:divBdr>
        <w:top w:val="none" w:sz="0" w:space="0" w:color="auto"/>
        <w:left w:val="none" w:sz="0" w:space="0" w:color="auto"/>
        <w:bottom w:val="none" w:sz="0" w:space="0" w:color="auto"/>
        <w:right w:val="none" w:sz="0" w:space="0" w:color="auto"/>
      </w:divBdr>
    </w:div>
    <w:div w:id="256645419">
      <w:bodyDiv w:val="1"/>
      <w:marLeft w:val="0"/>
      <w:marRight w:val="0"/>
      <w:marTop w:val="0"/>
      <w:marBottom w:val="0"/>
      <w:divBdr>
        <w:top w:val="none" w:sz="0" w:space="0" w:color="auto"/>
        <w:left w:val="none" w:sz="0" w:space="0" w:color="auto"/>
        <w:bottom w:val="none" w:sz="0" w:space="0" w:color="auto"/>
        <w:right w:val="none" w:sz="0" w:space="0" w:color="auto"/>
      </w:divBdr>
    </w:div>
    <w:div w:id="475797854">
      <w:bodyDiv w:val="1"/>
      <w:marLeft w:val="0"/>
      <w:marRight w:val="0"/>
      <w:marTop w:val="0"/>
      <w:marBottom w:val="0"/>
      <w:divBdr>
        <w:top w:val="none" w:sz="0" w:space="0" w:color="auto"/>
        <w:left w:val="none" w:sz="0" w:space="0" w:color="auto"/>
        <w:bottom w:val="none" w:sz="0" w:space="0" w:color="auto"/>
        <w:right w:val="none" w:sz="0" w:space="0" w:color="auto"/>
      </w:divBdr>
    </w:div>
    <w:div w:id="513804276">
      <w:bodyDiv w:val="1"/>
      <w:marLeft w:val="0"/>
      <w:marRight w:val="0"/>
      <w:marTop w:val="0"/>
      <w:marBottom w:val="0"/>
      <w:divBdr>
        <w:top w:val="none" w:sz="0" w:space="0" w:color="auto"/>
        <w:left w:val="none" w:sz="0" w:space="0" w:color="auto"/>
        <w:bottom w:val="none" w:sz="0" w:space="0" w:color="auto"/>
        <w:right w:val="none" w:sz="0" w:space="0" w:color="auto"/>
      </w:divBdr>
    </w:div>
    <w:div w:id="534275677">
      <w:bodyDiv w:val="1"/>
      <w:marLeft w:val="0"/>
      <w:marRight w:val="0"/>
      <w:marTop w:val="0"/>
      <w:marBottom w:val="0"/>
      <w:divBdr>
        <w:top w:val="none" w:sz="0" w:space="0" w:color="auto"/>
        <w:left w:val="none" w:sz="0" w:space="0" w:color="auto"/>
        <w:bottom w:val="none" w:sz="0" w:space="0" w:color="auto"/>
        <w:right w:val="none" w:sz="0" w:space="0" w:color="auto"/>
      </w:divBdr>
    </w:div>
    <w:div w:id="592710953">
      <w:bodyDiv w:val="1"/>
      <w:marLeft w:val="0"/>
      <w:marRight w:val="0"/>
      <w:marTop w:val="0"/>
      <w:marBottom w:val="0"/>
      <w:divBdr>
        <w:top w:val="none" w:sz="0" w:space="0" w:color="auto"/>
        <w:left w:val="none" w:sz="0" w:space="0" w:color="auto"/>
        <w:bottom w:val="none" w:sz="0" w:space="0" w:color="auto"/>
        <w:right w:val="none" w:sz="0" w:space="0" w:color="auto"/>
      </w:divBdr>
    </w:div>
    <w:div w:id="691417374">
      <w:bodyDiv w:val="1"/>
      <w:marLeft w:val="0"/>
      <w:marRight w:val="0"/>
      <w:marTop w:val="0"/>
      <w:marBottom w:val="0"/>
      <w:divBdr>
        <w:top w:val="none" w:sz="0" w:space="0" w:color="auto"/>
        <w:left w:val="none" w:sz="0" w:space="0" w:color="auto"/>
        <w:bottom w:val="none" w:sz="0" w:space="0" w:color="auto"/>
        <w:right w:val="none" w:sz="0" w:space="0" w:color="auto"/>
      </w:divBdr>
    </w:div>
    <w:div w:id="865098830">
      <w:bodyDiv w:val="1"/>
      <w:marLeft w:val="0"/>
      <w:marRight w:val="0"/>
      <w:marTop w:val="0"/>
      <w:marBottom w:val="0"/>
      <w:divBdr>
        <w:top w:val="none" w:sz="0" w:space="0" w:color="auto"/>
        <w:left w:val="none" w:sz="0" w:space="0" w:color="auto"/>
        <w:bottom w:val="none" w:sz="0" w:space="0" w:color="auto"/>
        <w:right w:val="none" w:sz="0" w:space="0" w:color="auto"/>
      </w:divBdr>
    </w:div>
    <w:div w:id="897089058">
      <w:bodyDiv w:val="1"/>
      <w:marLeft w:val="0"/>
      <w:marRight w:val="0"/>
      <w:marTop w:val="0"/>
      <w:marBottom w:val="0"/>
      <w:divBdr>
        <w:top w:val="none" w:sz="0" w:space="0" w:color="auto"/>
        <w:left w:val="none" w:sz="0" w:space="0" w:color="auto"/>
        <w:bottom w:val="none" w:sz="0" w:space="0" w:color="auto"/>
        <w:right w:val="none" w:sz="0" w:space="0" w:color="auto"/>
      </w:divBdr>
    </w:div>
    <w:div w:id="1000549954">
      <w:bodyDiv w:val="1"/>
      <w:marLeft w:val="0"/>
      <w:marRight w:val="0"/>
      <w:marTop w:val="0"/>
      <w:marBottom w:val="0"/>
      <w:divBdr>
        <w:top w:val="none" w:sz="0" w:space="0" w:color="auto"/>
        <w:left w:val="none" w:sz="0" w:space="0" w:color="auto"/>
        <w:bottom w:val="none" w:sz="0" w:space="0" w:color="auto"/>
        <w:right w:val="none" w:sz="0" w:space="0" w:color="auto"/>
      </w:divBdr>
    </w:div>
    <w:div w:id="1110785390">
      <w:bodyDiv w:val="1"/>
      <w:marLeft w:val="0"/>
      <w:marRight w:val="0"/>
      <w:marTop w:val="0"/>
      <w:marBottom w:val="0"/>
      <w:divBdr>
        <w:top w:val="none" w:sz="0" w:space="0" w:color="auto"/>
        <w:left w:val="none" w:sz="0" w:space="0" w:color="auto"/>
        <w:bottom w:val="none" w:sz="0" w:space="0" w:color="auto"/>
        <w:right w:val="none" w:sz="0" w:space="0" w:color="auto"/>
      </w:divBdr>
    </w:div>
    <w:div w:id="1203204407">
      <w:bodyDiv w:val="1"/>
      <w:marLeft w:val="0"/>
      <w:marRight w:val="0"/>
      <w:marTop w:val="0"/>
      <w:marBottom w:val="0"/>
      <w:divBdr>
        <w:top w:val="none" w:sz="0" w:space="0" w:color="auto"/>
        <w:left w:val="none" w:sz="0" w:space="0" w:color="auto"/>
        <w:bottom w:val="none" w:sz="0" w:space="0" w:color="auto"/>
        <w:right w:val="none" w:sz="0" w:space="0" w:color="auto"/>
      </w:divBdr>
    </w:div>
    <w:div w:id="1453355177">
      <w:bodyDiv w:val="1"/>
      <w:marLeft w:val="0"/>
      <w:marRight w:val="0"/>
      <w:marTop w:val="0"/>
      <w:marBottom w:val="0"/>
      <w:divBdr>
        <w:top w:val="none" w:sz="0" w:space="0" w:color="auto"/>
        <w:left w:val="none" w:sz="0" w:space="0" w:color="auto"/>
        <w:bottom w:val="none" w:sz="0" w:space="0" w:color="auto"/>
        <w:right w:val="none" w:sz="0" w:space="0" w:color="auto"/>
      </w:divBdr>
    </w:div>
    <w:div w:id="1706522163">
      <w:bodyDiv w:val="1"/>
      <w:marLeft w:val="0"/>
      <w:marRight w:val="0"/>
      <w:marTop w:val="0"/>
      <w:marBottom w:val="0"/>
      <w:divBdr>
        <w:top w:val="none" w:sz="0" w:space="0" w:color="auto"/>
        <w:left w:val="none" w:sz="0" w:space="0" w:color="auto"/>
        <w:bottom w:val="none" w:sz="0" w:space="0" w:color="auto"/>
        <w:right w:val="none" w:sz="0" w:space="0" w:color="auto"/>
      </w:divBdr>
    </w:div>
    <w:div w:id="1865288706">
      <w:bodyDiv w:val="1"/>
      <w:marLeft w:val="0"/>
      <w:marRight w:val="0"/>
      <w:marTop w:val="0"/>
      <w:marBottom w:val="0"/>
      <w:divBdr>
        <w:top w:val="none" w:sz="0" w:space="0" w:color="auto"/>
        <w:left w:val="none" w:sz="0" w:space="0" w:color="auto"/>
        <w:bottom w:val="none" w:sz="0" w:space="0" w:color="auto"/>
        <w:right w:val="none" w:sz="0" w:space="0" w:color="auto"/>
      </w:divBdr>
    </w:div>
    <w:div w:id="1973175024">
      <w:bodyDiv w:val="1"/>
      <w:marLeft w:val="0"/>
      <w:marRight w:val="0"/>
      <w:marTop w:val="0"/>
      <w:marBottom w:val="0"/>
      <w:divBdr>
        <w:top w:val="none" w:sz="0" w:space="0" w:color="auto"/>
        <w:left w:val="none" w:sz="0" w:space="0" w:color="auto"/>
        <w:bottom w:val="none" w:sz="0" w:space="0" w:color="auto"/>
        <w:right w:val="none" w:sz="0" w:space="0" w:color="auto"/>
      </w:divBdr>
    </w:div>
    <w:div w:id="212549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tondo.11@osu.edu" TargetMode="External"/><Relationship Id="rId11" Type="http://schemas.openxmlformats.org/officeDocument/2006/relationships/theme" Target="theme/theme1.xml"/><Relationship Id="rId5" Type="http://schemas.openxmlformats.org/officeDocument/2006/relationships/hyperlink" Target="mailto:sanabria-velazquez.1@osu.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245</TotalTime>
  <Pages>4</Pages>
  <Words>1214</Words>
  <Characters>7324</Characters>
  <Application>Microsoft Office Word</Application>
  <DocSecurity>0</DocSecurity>
  <Lines>114</Lines>
  <Paragraphs>35</Paragraphs>
  <ScaleCrop>false</ScaleCrop>
  <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Sanabria-Velazquez, Andres</dc:creator>
  <cp:keywords/>
  <dc:description/>
  <cp:lastModifiedBy>Sanabria-Velazquez, Andres</cp:lastModifiedBy>
  <cp:revision>67</cp:revision>
  <cp:lastPrinted>2025-11-06T20:58:00Z</cp:lastPrinted>
  <dcterms:created xsi:type="dcterms:W3CDTF">2025-11-06T16:34:00Z</dcterms:created>
  <dcterms:modified xsi:type="dcterms:W3CDTF">2026-01-02T21:09:00Z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2310f8ed-ea43-400e-96c1-777251f8c641</vt:lpwstr>
  </property>
</Properties>
</file>